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307B9" w14:textId="77777777" w:rsidR="00EB5027" w:rsidRPr="00EB5027" w:rsidRDefault="00B5725E" w:rsidP="00B5725E">
      <w:pPr>
        <w:rPr>
          <w:b/>
          <w:bCs/>
        </w:rPr>
      </w:pPr>
      <w:r w:rsidRPr="00B5725E">
        <w:rPr>
          <w:b/>
          <w:bCs/>
        </w:rPr>
        <w:t>Title: Re</w:t>
      </w:r>
      <w:r w:rsidRPr="00B5725E">
        <w:rPr>
          <w:b/>
          <w:bCs/>
        </w:rPr>
        <w:noBreakHyphen/>
        <w:t xml:space="preserve">examining </w:t>
      </w:r>
      <w:proofErr w:type="spellStart"/>
      <w:r w:rsidRPr="00B5725E">
        <w:rPr>
          <w:b/>
          <w:bCs/>
        </w:rPr>
        <w:t>Panchächär</w:t>
      </w:r>
      <w:proofErr w:type="spellEnd"/>
      <w:r w:rsidRPr="00B5725E">
        <w:rPr>
          <w:b/>
          <w:bCs/>
        </w:rPr>
        <w:t xml:space="preserve">: A Comprehensive Study of the Fivefold Jain Code of Conduct </w:t>
      </w:r>
    </w:p>
    <w:p w14:paraId="71350DEA" w14:textId="77777777" w:rsidR="00EB5027" w:rsidRDefault="00B5725E" w:rsidP="00B5725E">
      <w:r w:rsidRPr="00B5725E">
        <w:t xml:space="preserve">Author: Ujjawal Daga </w:t>
      </w:r>
    </w:p>
    <w:p w14:paraId="5C20C482" w14:textId="77777777" w:rsidR="00EB5027" w:rsidRDefault="00B5725E" w:rsidP="00B5725E">
      <w:r w:rsidRPr="00B5725E">
        <w:t xml:space="preserve">Guide: Prof. Samani </w:t>
      </w:r>
      <w:proofErr w:type="spellStart"/>
      <w:r w:rsidRPr="00B5725E">
        <w:t>Sangitpragya</w:t>
      </w:r>
      <w:proofErr w:type="spellEnd"/>
      <w:r w:rsidRPr="00B5725E">
        <w:t xml:space="preserve">, JVBI, Ladnun </w:t>
      </w:r>
    </w:p>
    <w:p w14:paraId="0969D3ED" w14:textId="1B63BB9A" w:rsidR="00B5725E" w:rsidRPr="00B5725E" w:rsidRDefault="00B5725E" w:rsidP="00B5725E">
      <w:r w:rsidRPr="00B5725E">
        <w:t>Email: ujjawal.daga@gmail.com</w:t>
      </w:r>
    </w:p>
    <w:p w14:paraId="3BF3E0D2" w14:textId="614685EC" w:rsidR="00B5725E" w:rsidRDefault="00B5725E" w:rsidP="00B5725E">
      <w:r w:rsidRPr="00B5725E">
        <w:rPr>
          <w:b/>
          <w:bCs/>
        </w:rPr>
        <w:t>Abstract:</w:t>
      </w:r>
      <w:r w:rsidRPr="00B5725E">
        <w:t xml:space="preserve"> This research article critically examines the </w:t>
      </w:r>
      <w:proofErr w:type="spellStart"/>
      <w:r w:rsidRPr="00B5725E">
        <w:t>Panchächär</w:t>
      </w:r>
      <w:proofErr w:type="spellEnd"/>
      <w:r w:rsidRPr="00B5725E">
        <w:t>, the fivefold Jain code of conduct</w:t>
      </w:r>
      <w:r w:rsidR="00EB5027">
        <w:t>-</w:t>
      </w:r>
      <w:proofErr w:type="spellStart"/>
      <w:r w:rsidRPr="00B5725E">
        <w:t>Jnänächär</w:t>
      </w:r>
      <w:proofErr w:type="spellEnd"/>
      <w:r w:rsidRPr="00B5725E">
        <w:t xml:space="preserve">, </w:t>
      </w:r>
      <w:proofErr w:type="spellStart"/>
      <w:r w:rsidRPr="00B5725E">
        <w:t>Darshanächär</w:t>
      </w:r>
      <w:proofErr w:type="spellEnd"/>
      <w:r w:rsidRPr="00B5725E">
        <w:t xml:space="preserve">, </w:t>
      </w:r>
      <w:proofErr w:type="spellStart"/>
      <w:r w:rsidRPr="00B5725E">
        <w:t>Chäriträchär</w:t>
      </w:r>
      <w:proofErr w:type="spellEnd"/>
      <w:r w:rsidRPr="00B5725E">
        <w:t xml:space="preserve">, </w:t>
      </w:r>
      <w:proofErr w:type="spellStart"/>
      <w:r w:rsidRPr="00B5725E">
        <w:t>Tapächär</w:t>
      </w:r>
      <w:proofErr w:type="spellEnd"/>
      <w:r w:rsidRPr="00B5725E">
        <w:t xml:space="preserve">, and </w:t>
      </w:r>
      <w:proofErr w:type="spellStart"/>
      <w:r w:rsidRPr="00B5725E">
        <w:t>Viryächär</w:t>
      </w:r>
      <w:proofErr w:type="spellEnd"/>
      <w:r w:rsidR="00003AB4">
        <w:t>-</w:t>
      </w:r>
      <w:r w:rsidRPr="00B5725E">
        <w:t xml:space="preserve">through philological, historical, and comparative lenses. Drawing upon canonical scriptures, commentaries, and contemporary scholarship, the study </w:t>
      </w:r>
      <w:r w:rsidR="00EB5027" w:rsidRPr="00B5725E">
        <w:t>contextualizes</w:t>
      </w:r>
      <w:r w:rsidRPr="00B5725E">
        <w:t xml:space="preserve"> each code within Jain soteriology, traces its doctrinal evolution, and explores its applicability in modern ethical discourse. Methodologically, it employs textual criticism of Prakrit and Sanskrit sources, ethnographic observation of ascetic and lay communities, and interdisciplinary frameworks from virtue ethics and </w:t>
      </w:r>
      <w:r w:rsidR="00EB5027" w:rsidRPr="00B5725E">
        <w:t>behavioral</w:t>
      </w:r>
      <w:r w:rsidRPr="00B5725E">
        <w:t xml:space="preserve"> psychology. Findings highlight </w:t>
      </w:r>
      <w:proofErr w:type="spellStart"/>
      <w:r w:rsidRPr="00B5725E">
        <w:t>Panchächär’s</w:t>
      </w:r>
      <w:proofErr w:type="spellEnd"/>
      <w:r w:rsidRPr="00B5725E">
        <w:t xml:space="preserve"> integrative architecture, demonstrating how epistemic, affective, </w:t>
      </w:r>
      <w:r w:rsidR="00EB5027" w:rsidRPr="00B5725E">
        <w:t>behavioral</w:t>
      </w:r>
      <w:r w:rsidRPr="00B5725E">
        <w:t xml:space="preserve">, ascetic, and energetic dimensions </w:t>
      </w:r>
      <w:r w:rsidR="00EB5027" w:rsidRPr="00B5725E">
        <w:t>synergize</w:t>
      </w:r>
      <w:r w:rsidRPr="00B5725E">
        <w:t xml:space="preserve"> to facilitate liberation while offering resilient templates for twenty</w:t>
      </w:r>
      <w:r w:rsidRPr="00B5725E">
        <w:noBreakHyphen/>
        <w:t>first</w:t>
      </w:r>
      <w:r w:rsidRPr="00B5725E">
        <w:noBreakHyphen/>
        <w:t xml:space="preserve">century ethical challenges. The paper concludes that </w:t>
      </w:r>
      <w:proofErr w:type="spellStart"/>
      <w:r w:rsidRPr="00B5725E">
        <w:t>Panchächär</w:t>
      </w:r>
      <w:proofErr w:type="spellEnd"/>
      <w:r w:rsidRPr="00B5725E">
        <w:t xml:space="preserve"> retains unparalleled heuristic value for individual and collective well</w:t>
      </w:r>
      <w:r w:rsidRPr="00B5725E">
        <w:noBreakHyphen/>
        <w:t>being, recommending innovative pedagogies to disseminate its insights globally.</w:t>
      </w:r>
    </w:p>
    <w:p w14:paraId="593326FA" w14:textId="77777777" w:rsidR="00F91553" w:rsidRPr="00F91553" w:rsidRDefault="00F91553" w:rsidP="00F91553">
      <w:r w:rsidRPr="00F91553">
        <w:t xml:space="preserve">                        </w:t>
      </w:r>
      <w:proofErr w:type="spellStart"/>
      <w:r w:rsidRPr="00F91553">
        <w:t>Nänammi</w:t>
      </w:r>
      <w:proofErr w:type="spellEnd"/>
      <w:r w:rsidRPr="00F91553">
        <w:t xml:space="preserve"> </w:t>
      </w:r>
      <w:proofErr w:type="spellStart"/>
      <w:r w:rsidRPr="00F91553">
        <w:t>Dansanammi</w:t>
      </w:r>
      <w:proofErr w:type="spellEnd"/>
      <w:r w:rsidRPr="00F91553">
        <w:t xml:space="preserve"> A </w:t>
      </w:r>
      <w:proofErr w:type="spellStart"/>
      <w:r w:rsidRPr="00F91553">
        <w:t>Charanammi</w:t>
      </w:r>
      <w:proofErr w:type="spellEnd"/>
      <w:r w:rsidRPr="00F91553">
        <w:t xml:space="preserve"> </w:t>
      </w:r>
      <w:proofErr w:type="spellStart"/>
      <w:r w:rsidRPr="00F91553">
        <w:t>Tavammi</w:t>
      </w:r>
      <w:proofErr w:type="spellEnd"/>
      <w:r w:rsidRPr="00F91553">
        <w:t xml:space="preserve"> Tahay </w:t>
      </w:r>
      <w:proofErr w:type="spellStart"/>
      <w:r w:rsidRPr="00F91553">
        <w:t>Viriyammi</w:t>
      </w:r>
      <w:proofErr w:type="spellEnd"/>
    </w:p>
    <w:p w14:paraId="1A6B2482" w14:textId="77777777" w:rsidR="00F91553" w:rsidRPr="00F91553" w:rsidRDefault="00F91553" w:rsidP="00F91553">
      <w:r w:rsidRPr="00F91553">
        <w:t xml:space="preserve">                        </w:t>
      </w:r>
      <w:proofErr w:type="spellStart"/>
      <w:r w:rsidRPr="00F91553">
        <w:t>Äyaranam</w:t>
      </w:r>
      <w:proofErr w:type="spellEnd"/>
      <w:r w:rsidRPr="00F91553">
        <w:t xml:space="preserve"> </w:t>
      </w:r>
      <w:proofErr w:type="spellStart"/>
      <w:r w:rsidRPr="00F91553">
        <w:t>Äyäro</w:t>
      </w:r>
      <w:proofErr w:type="spellEnd"/>
      <w:r w:rsidRPr="00F91553">
        <w:t xml:space="preserve"> </w:t>
      </w:r>
      <w:proofErr w:type="spellStart"/>
      <w:r w:rsidRPr="00F91553">
        <w:t>Ea</w:t>
      </w:r>
      <w:proofErr w:type="spellEnd"/>
      <w:r w:rsidRPr="00F91553">
        <w:t xml:space="preserve"> Eso </w:t>
      </w:r>
      <w:proofErr w:type="spellStart"/>
      <w:r w:rsidRPr="00F91553">
        <w:t>Panchahä</w:t>
      </w:r>
      <w:proofErr w:type="spellEnd"/>
      <w:r w:rsidRPr="00F91553">
        <w:t xml:space="preserve"> </w:t>
      </w:r>
      <w:proofErr w:type="spellStart"/>
      <w:r w:rsidRPr="00F91553">
        <w:t>Bhanio</w:t>
      </w:r>
      <w:proofErr w:type="spellEnd"/>
    </w:p>
    <w:p w14:paraId="1B6440FB" w14:textId="724FE7CB" w:rsidR="00F91553" w:rsidRPr="00F91553" w:rsidRDefault="00F91553" w:rsidP="00F91553">
      <w:r w:rsidRPr="00F91553">
        <w:t xml:space="preserve">                                                --- </w:t>
      </w:r>
      <w:proofErr w:type="spellStart"/>
      <w:r w:rsidRPr="00F91553">
        <w:t>Panchächär</w:t>
      </w:r>
      <w:proofErr w:type="spellEnd"/>
      <w:r w:rsidRPr="00F91553">
        <w:t xml:space="preserve"> Sutra</w:t>
      </w:r>
      <w:r>
        <w:rPr>
          <w:rStyle w:val="FootnoteReference"/>
        </w:rPr>
        <w:footnoteReference w:id="1"/>
      </w:r>
    </w:p>
    <w:p w14:paraId="46980D8C" w14:textId="1FAD8625" w:rsidR="00F91553" w:rsidRDefault="00F91553" w:rsidP="00B5725E">
      <w:r w:rsidRPr="00F91553">
        <w:t>Knowledge, perception, conduct, austerities and vigor constitute the fivefold code of conduct</w:t>
      </w:r>
    </w:p>
    <w:p w14:paraId="2155B716" w14:textId="77777777" w:rsidR="00EB5027" w:rsidRDefault="00EB5027" w:rsidP="00EB5027">
      <w:pPr>
        <w:numPr>
          <w:ilvl w:val="0"/>
          <w:numId w:val="1"/>
        </w:numPr>
        <w:tabs>
          <w:tab w:val="clear" w:pos="360"/>
          <w:tab w:val="num" w:pos="720"/>
        </w:tabs>
        <w:rPr>
          <w:b/>
          <w:bCs/>
        </w:rPr>
      </w:pPr>
      <w:r w:rsidRPr="00EB5027">
        <w:rPr>
          <w:b/>
          <w:bCs/>
        </w:rPr>
        <w:t>Introduction</w:t>
      </w:r>
    </w:p>
    <w:p w14:paraId="47D9840D" w14:textId="1066FC1E" w:rsidR="00F91553" w:rsidRPr="00F91553" w:rsidRDefault="00F91553" w:rsidP="00F91553">
      <w:pPr>
        <w:numPr>
          <w:ilvl w:val="0"/>
          <w:numId w:val="1"/>
        </w:numPr>
        <w:tabs>
          <w:tab w:val="clear" w:pos="360"/>
          <w:tab w:val="num" w:pos="720"/>
        </w:tabs>
      </w:pPr>
      <w:r w:rsidRPr="00F91553">
        <w:t xml:space="preserve">Religion may be analytically bifurcated into </w:t>
      </w:r>
      <w:r w:rsidRPr="00F91553">
        <w:rPr>
          <w:i/>
          <w:iCs/>
        </w:rPr>
        <w:t>principles</w:t>
      </w:r>
      <w:r w:rsidRPr="00F91553">
        <w:t xml:space="preserve"> (doctrine, ontology, metaphysics) and practice (ritual, observance, discipline).</w:t>
      </w:r>
      <w:r>
        <w:rPr>
          <w:rStyle w:val="FootnoteReference"/>
        </w:rPr>
        <w:footnoteReference w:id="2"/>
      </w:r>
      <w:r w:rsidRPr="00F91553">
        <w:t xml:space="preserve"> Within Jain thought this polarity </w:t>
      </w:r>
      <w:proofErr w:type="spellStart"/>
      <w:r w:rsidRPr="00F91553">
        <w:t>crystallises</w:t>
      </w:r>
      <w:proofErr w:type="spellEnd"/>
      <w:r w:rsidRPr="00F91553">
        <w:t xml:space="preserve"> as </w:t>
      </w:r>
      <w:proofErr w:type="spellStart"/>
      <w:r w:rsidRPr="00F91553">
        <w:t>samyag</w:t>
      </w:r>
      <w:r w:rsidRPr="00F91553">
        <w:noBreakHyphen/>
        <w:t>darśana</w:t>
      </w:r>
      <w:r w:rsidRPr="00F91553">
        <w:noBreakHyphen/>
        <w:t>jñāna</w:t>
      </w:r>
      <w:r w:rsidRPr="00F91553">
        <w:noBreakHyphen/>
        <w:t>cāritra</w:t>
      </w:r>
      <w:proofErr w:type="spellEnd"/>
      <w:r w:rsidR="00003AB4">
        <w:t xml:space="preserve"> -</w:t>
      </w:r>
      <w:r w:rsidRPr="00F91553">
        <w:t>right faith, right knowledge, and right conduct</w:t>
      </w:r>
      <w:r w:rsidR="00003AB4">
        <w:t>-</w:t>
      </w:r>
      <w:r w:rsidRPr="00F91553">
        <w:t xml:space="preserve">each mutually conditioning the others and jointly articulating the </w:t>
      </w:r>
      <w:proofErr w:type="spellStart"/>
      <w:r w:rsidRPr="00F91553">
        <w:t>mārga</w:t>
      </w:r>
      <w:proofErr w:type="spellEnd"/>
      <w:r w:rsidRPr="00F91553">
        <w:t xml:space="preserve"> (path) to liberation (</w:t>
      </w:r>
      <w:proofErr w:type="spellStart"/>
      <w:r w:rsidRPr="00F91553">
        <w:t>mokṣa</w:t>
      </w:r>
      <w:proofErr w:type="spellEnd"/>
      <w:r w:rsidRPr="00F91553">
        <w:t>).</w:t>
      </w:r>
      <w:r>
        <w:rPr>
          <w:rStyle w:val="FootnoteReference"/>
        </w:rPr>
        <w:footnoteReference w:id="3"/>
      </w:r>
      <w:r w:rsidRPr="00F91553">
        <w:t xml:space="preserve"> The pragmatic segment of this triad is further </w:t>
      </w:r>
      <w:proofErr w:type="spellStart"/>
      <w:r w:rsidRPr="00F91553">
        <w:t>schematised</w:t>
      </w:r>
      <w:proofErr w:type="spellEnd"/>
      <w:r w:rsidRPr="00F91553">
        <w:t xml:space="preserve"> by </w:t>
      </w:r>
      <w:r w:rsidRPr="00F91553">
        <w:lastRenderedPageBreak/>
        <w:t>Jain acharyas into a five</w:t>
      </w:r>
      <w:r w:rsidRPr="00F91553">
        <w:noBreakHyphen/>
        <w:t xml:space="preserve">fold disciplinary architecture known as </w:t>
      </w:r>
      <w:proofErr w:type="spellStart"/>
      <w:r w:rsidRPr="00F91553">
        <w:t>Panchächär</w:t>
      </w:r>
      <w:proofErr w:type="spellEnd"/>
      <w:r w:rsidRPr="00F91553">
        <w:t xml:space="preserve"> (</w:t>
      </w:r>
      <w:proofErr w:type="spellStart"/>
      <w:r w:rsidRPr="00F91553">
        <w:t>pañcā</w:t>
      </w:r>
      <w:r w:rsidRPr="00F91553">
        <w:noBreakHyphen/>
        <w:t>ācāra</w:t>
      </w:r>
      <w:proofErr w:type="spellEnd"/>
      <w:r w:rsidRPr="00F91553">
        <w:t>):</w:t>
      </w:r>
    </w:p>
    <w:p w14:paraId="7EABC414" w14:textId="5FE5E282" w:rsidR="00F91553" w:rsidRPr="00F91553" w:rsidRDefault="00CB4C2E" w:rsidP="00CB4C2E">
      <w:r>
        <w:t>1.</w:t>
      </w:r>
      <w:r w:rsidR="00F91553" w:rsidRPr="00F91553">
        <w:t>Jñānācāra – epistemic discipline (acquisition and preservation of right knowledge)</w:t>
      </w:r>
    </w:p>
    <w:p w14:paraId="1E8E3FE9" w14:textId="660956B9" w:rsidR="00F91553" w:rsidRPr="00F91553" w:rsidRDefault="00CB4C2E" w:rsidP="00CB4C2E">
      <w:r>
        <w:t>2.</w:t>
      </w:r>
      <w:r w:rsidR="00F91553" w:rsidRPr="00F91553">
        <w:t>Darśanācāra – affective</w:t>
      </w:r>
      <w:r w:rsidR="00F91553" w:rsidRPr="00F91553">
        <w:noBreakHyphen/>
        <w:t>perceptual discipline (cultivating right faith/perception)</w:t>
      </w:r>
    </w:p>
    <w:p w14:paraId="52367EDF" w14:textId="77777777" w:rsidR="00F91553" w:rsidRPr="00F91553" w:rsidRDefault="00F91553" w:rsidP="00F91553">
      <w:pPr>
        <w:numPr>
          <w:ilvl w:val="0"/>
          <w:numId w:val="1"/>
        </w:numPr>
        <w:tabs>
          <w:tab w:val="clear" w:pos="360"/>
          <w:tab w:val="num" w:pos="720"/>
        </w:tabs>
      </w:pPr>
      <w:proofErr w:type="spellStart"/>
      <w:r w:rsidRPr="00F91553">
        <w:t>Cāritrācāra</w:t>
      </w:r>
      <w:proofErr w:type="spellEnd"/>
      <w:r w:rsidRPr="00F91553">
        <w:t xml:space="preserve"> – </w:t>
      </w:r>
      <w:proofErr w:type="spellStart"/>
      <w:r w:rsidRPr="00F91553">
        <w:t>behavioural</w:t>
      </w:r>
      <w:proofErr w:type="spellEnd"/>
      <w:r w:rsidRPr="00F91553">
        <w:t xml:space="preserve"> discipline (regulation of speech, body, and mind)</w:t>
      </w:r>
    </w:p>
    <w:p w14:paraId="0FAE17D1" w14:textId="77777777" w:rsidR="00F91553" w:rsidRPr="00F91553" w:rsidRDefault="00F91553" w:rsidP="00F91553">
      <w:pPr>
        <w:numPr>
          <w:ilvl w:val="0"/>
          <w:numId w:val="1"/>
        </w:numPr>
        <w:tabs>
          <w:tab w:val="clear" w:pos="360"/>
          <w:tab w:val="num" w:pos="720"/>
        </w:tabs>
      </w:pPr>
      <w:proofErr w:type="spellStart"/>
      <w:r w:rsidRPr="00F91553">
        <w:t>Tapācāra</w:t>
      </w:r>
      <w:proofErr w:type="spellEnd"/>
      <w:r w:rsidRPr="00F91553">
        <w:t xml:space="preserve"> – ascetic discipline (voluntary austerity and karmic purification)</w:t>
      </w:r>
    </w:p>
    <w:p w14:paraId="24D4687F" w14:textId="77777777" w:rsidR="00F91553" w:rsidRPr="00F91553" w:rsidRDefault="00F91553" w:rsidP="00F91553">
      <w:pPr>
        <w:numPr>
          <w:ilvl w:val="0"/>
          <w:numId w:val="1"/>
        </w:numPr>
        <w:tabs>
          <w:tab w:val="clear" w:pos="360"/>
          <w:tab w:val="num" w:pos="720"/>
        </w:tabs>
      </w:pPr>
      <w:proofErr w:type="spellStart"/>
      <w:r w:rsidRPr="00F91553">
        <w:t>Vīryācāra</w:t>
      </w:r>
      <w:proofErr w:type="spellEnd"/>
      <w:r w:rsidRPr="00F91553">
        <w:t xml:space="preserve"> – energetic discipline (vigorous, unwavering application of effort)</w:t>
      </w:r>
    </w:p>
    <w:p w14:paraId="03B99320" w14:textId="484F2C4E" w:rsidR="00F91553" w:rsidRPr="00F91553" w:rsidRDefault="00F91553" w:rsidP="00CB4C2E">
      <w:r w:rsidRPr="00F91553">
        <w:t xml:space="preserve">First attested in the </w:t>
      </w:r>
      <w:proofErr w:type="spellStart"/>
      <w:r w:rsidRPr="00F91553">
        <w:t>Uttarādhyayanasūtra</w:t>
      </w:r>
      <w:proofErr w:type="spellEnd"/>
      <w:r w:rsidRPr="00F91553">
        <w:t xml:space="preserve"> (c. 3rd</w:t>
      </w:r>
      <w:r w:rsidRPr="00F91553">
        <w:rPr>
          <w:rFonts w:ascii="Arial" w:hAnsi="Arial" w:cs="Arial"/>
        </w:rPr>
        <w:t> </w:t>
      </w:r>
      <w:r w:rsidRPr="00F91553">
        <w:t>cent.</w:t>
      </w:r>
      <w:r w:rsidRPr="00F91553">
        <w:rPr>
          <w:rFonts w:ascii="Arial" w:hAnsi="Arial" w:cs="Arial"/>
        </w:rPr>
        <w:t> </w:t>
      </w:r>
      <w:r w:rsidRPr="00F91553">
        <w:t xml:space="preserve">BCE), the schema reached mature articulation through </w:t>
      </w:r>
      <w:r w:rsidRPr="00F91553">
        <w:rPr>
          <w:rFonts w:ascii="Aptos" w:hAnsi="Aptos" w:cs="Aptos"/>
        </w:rPr>
        <w:t>Ś</w:t>
      </w:r>
      <w:r w:rsidRPr="00F91553">
        <w:t>vet</w:t>
      </w:r>
      <w:r w:rsidRPr="00F91553">
        <w:rPr>
          <w:rFonts w:ascii="Aptos" w:hAnsi="Aptos" w:cs="Aptos"/>
        </w:rPr>
        <w:t>ā</w:t>
      </w:r>
      <w:r w:rsidRPr="00F91553">
        <w:t xml:space="preserve">mbara and Digambara exegetes such as </w:t>
      </w:r>
      <w:r w:rsidR="00CB4C2E" w:rsidRPr="00F91553">
        <w:t>Hari Bhadra</w:t>
      </w:r>
      <w:r w:rsidRPr="00F91553">
        <w:t xml:space="preserve">, Hemacandra, and </w:t>
      </w:r>
      <w:proofErr w:type="spellStart"/>
      <w:r w:rsidRPr="00F91553">
        <w:t>Nemichandra</w:t>
      </w:r>
      <w:proofErr w:type="spellEnd"/>
      <w:r w:rsidRPr="00F91553">
        <w:t>.</w:t>
      </w:r>
      <w:r w:rsidR="00CB4C2E">
        <w:rPr>
          <w:rStyle w:val="FootnoteReference"/>
        </w:rPr>
        <w:footnoteReference w:id="4"/>
      </w:r>
      <w:r w:rsidRPr="00F91553">
        <w:t xml:space="preserve"> Modern historiography often treats the codes separately; yet canonical cross</w:t>
      </w:r>
      <w:r w:rsidRPr="00F91553">
        <w:noBreakHyphen/>
        <w:t xml:space="preserve">references reveal an integrative design in which epistemic clarity nourishes affective stability, which in turn grounds </w:t>
      </w:r>
      <w:r w:rsidR="00CB4C2E" w:rsidRPr="00F91553">
        <w:t>behavioral</w:t>
      </w:r>
      <w:r w:rsidRPr="00F91553">
        <w:t xml:space="preserve"> restraint, whose efficacy is turbocharged by ascetic fire, all of which finally depend upon inexhaustible energy.</w:t>
      </w:r>
      <w:r w:rsidR="00CB4C2E">
        <w:rPr>
          <w:rStyle w:val="FootnoteReference"/>
        </w:rPr>
        <w:footnoteReference w:id="5"/>
      </w:r>
    </w:p>
    <w:p w14:paraId="58BB4FA4" w14:textId="77777777" w:rsidR="00F91553" w:rsidRPr="00F91553" w:rsidRDefault="00F91553" w:rsidP="00CB4C2E">
      <w:pPr>
        <w:rPr>
          <w:b/>
          <w:bCs/>
        </w:rPr>
      </w:pPr>
      <w:r w:rsidRPr="00F91553">
        <w:rPr>
          <w:b/>
          <w:bCs/>
        </w:rPr>
        <w:t xml:space="preserve">1.2 </w:t>
      </w:r>
      <w:proofErr w:type="spellStart"/>
      <w:r w:rsidRPr="00F91553">
        <w:rPr>
          <w:b/>
          <w:bCs/>
        </w:rPr>
        <w:t>Jñānācāra</w:t>
      </w:r>
      <w:proofErr w:type="spellEnd"/>
      <w:r w:rsidRPr="00F91553">
        <w:rPr>
          <w:b/>
          <w:bCs/>
        </w:rPr>
        <w:t> – Discipline of Knowledge</w:t>
      </w:r>
    </w:p>
    <w:p w14:paraId="24EB1DC2" w14:textId="6D30959A" w:rsidR="00F91553" w:rsidRPr="00F91553" w:rsidRDefault="00F91553" w:rsidP="00CB4C2E">
      <w:r w:rsidRPr="00F91553">
        <w:rPr>
          <w:b/>
          <w:bCs/>
        </w:rPr>
        <w:t>Definition and Scope</w:t>
      </w:r>
      <w:r w:rsidRPr="00F91553">
        <w:t xml:space="preserve">. </w:t>
      </w:r>
      <w:proofErr w:type="spellStart"/>
      <w:r w:rsidRPr="00F91553">
        <w:t>Jñānācāra</w:t>
      </w:r>
      <w:proofErr w:type="spellEnd"/>
      <w:r w:rsidRPr="00F91553">
        <w:t xml:space="preserve"> prescribes the attitudes (</w:t>
      </w:r>
      <w:proofErr w:type="spellStart"/>
      <w:r w:rsidRPr="00F91553">
        <w:t>bhāva</w:t>
      </w:r>
      <w:proofErr w:type="spellEnd"/>
      <w:r w:rsidRPr="00F91553">
        <w:t xml:space="preserve">) and </w:t>
      </w:r>
      <w:r w:rsidR="00CB4C2E" w:rsidRPr="00F91553">
        <w:t>behaviors</w:t>
      </w:r>
      <w:r w:rsidRPr="00F91553">
        <w:t xml:space="preserve"> (</w:t>
      </w:r>
      <w:proofErr w:type="spellStart"/>
      <w:r w:rsidRPr="00F91553">
        <w:t>vyavahāra</w:t>
      </w:r>
      <w:proofErr w:type="spellEnd"/>
      <w:r w:rsidRPr="00F91553">
        <w:t xml:space="preserve">) required for acquiring, refining, and disseminating </w:t>
      </w:r>
      <w:proofErr w:type="spellStart"/>
      <w:r w:rsidRPr="00F91553">
        <w:t>samyag</w:t>
      </w:r>
      <w:r w:rsidRPr="00F91553">
        <w:noBreakHyphen/>
        <w:t>jñāna</w:t>
      </w:r>
      <w:proofErr w:type="spellEnd"/>
      <w:r w:rsidRPr="00F91553">
        <w:t xml:space="preserve"> (right knowledge).</w:t>
      </w:r>
      <w:r w:rsidR="00CB4C2E">
        <w:rPr>
          <w:rStyle w:val="FootnoteReference"/>
        </w:rPr>
        <w:footnoteReference w:id="6"/>
      </w:r>
      <w:r w:rsidRPr="00F91553">
        <w:t xml:space="preserve"> Canonical authority for the code is furnished by </w:t>
      </w:r>
      <w:proofErr w:type="spellStart"/>
      <w:r w:rsidRPr="00F91553">
        <w:t>Pañcācārasūtra</w:t>
      </w:r>
      <w:proofErr w:type="spellEnd"/>
      <w:r w:rsidRPr="00F91553">
        <w:t xml:space="preserve"> v.</w:t>
      </w:r>
      <w:r w:rsidRPr="00F91553">
        <w:rPr>
          <w:rFonts w:ascii="Arial" w:hAnsi="Arial" w:cs="Arial"/>
        </w:rPr>
        <w:t> </w:t>
      </w:r>
      <w:r w:rsidRPr="00F91553">
        <w:t xml:space="preserve">1, enumerating eight subsidiary observances (the </w:t>
      </w:r>
      <w:r w:rsidRPr="00F91553">
        <w:rPr>
          <w:rFonts w:ascii="Aptos" w:hAnsi="Aptos" w:cs="Aptos"/>
        </w:rPr>
        <w:t>‘</w:t>
      </w:r>
      <w:proofErr w:type="spellStart"/>
      <w:r w:rsidRPr="00F91553">
        <w:t>Aṣ</w:t>
      </w:r>
      <w:r w:rsidRPr="00F91553">
        <w:rPr>
          <w:rFonts w:ascii="Calibri" w:hAnsi="Calibri" w:cs="Calibri"/>
        </w:rPr>
        <w:t>ṭ</w:t>
      </w:r>
      <w:r w:rsidRPr="00F91553">
        <w:t>avidha</w:t>
      </w:r>
      <w:proofErr w:type="spellEnd"/>
      <w:r w:rsidRPr="00F91553">
        <w:t> </w:t>
      </w:r>
      <w:proofErr w:type="spellStart"/>
      <w:r w:rsidRPr="00F91553">
        <w:t>Jñāna</w:t>
      </w:r>
      <w:r w:rsidRPr="00F91553">
        <w:noBreakHyphen/>
        <w:t>mārgādhikāra</w:t>
      </w:r>
      <w:proofErr w:type="spellEnd"/>
      <w:r w:rsidRPr="00F91553">
        <w:t>’):</w:t>
      </w:r>
    </w:p>
    <w:p w14:paraId="6AE16F18" w14:textId="77777777" w:rsidR="00F91553" w:rsidRPr="00F91553" w:rsidRDefault="00F91553" w:rsidP="00CB4C2E">
      <w:r w:rsidRPr="00F91553">
        <w:t>Timely study (</w:t>
      </w:r>
      <w:proofErr w:type="spellStart"/>
      <w:r w:rsidRPr="00F91553">
        <w:t>kāla</w:t>
      </w:r>
      <w:r w:rsidRPr="00F91553">
        <w:noBreakHyphen/>
        <w:t>vinaya</w:t>
      </w:r>
      <w:proofErr w:type="spellEnd"/>
      <w:r w:rsidRPr="00F91553">
        <w:t>)</w:t>
      </w:r>
    </w:p>
    <w:p w14:paraId="656FE0D4" w14:textId="77777777" w:rsidR="00F91553" w:rsidRPr="00F91553" w:rsidRDefault="00F91553" w:rsidP="00CB4C2E">
      <w:r w:rsidRPr="00F91553">
        <w:t>Reverence for teachers (guru</w:t>
      </w:r>
      <w:r w:rsidRPr="00F91553">
        <w:noBreakHyphen/>
      </w:r>
      <w:proofErr w:type="spellStart"/>
      <w:r w:rsidRPr="00F91553">
        <w:t>pūjā</w:t>
      </w:r>
      <w:proofErr w:type="spellEnd"/>
      <w:r w:rsidRPr="00F91553">
        <w:t>)</w:t>
      </w:r>
    </w:p>
    <w:p w14:paraId="101121A0" w14:textId="77777777" w:rsidR="00F91553" w:rsidRPr="00F91553" w:rsidRDefault="00F91553" w:rsidP="00CB4C2E">
      <w:r w:rsidRPr="00F91553">
        <w:t>Respect for instruments of knowledge (books, pen, digital media) </w:t>
      </w:r>
    </w:p>
    <w:p w14:paraId="7C43AD38" w14:textId="77777777" w:rsidR="00F91553" w:rsidRPr="00F91553" w:rsidRDefault="00F91553" w:rsidP="00CB4C2E">
      <w:r w:rsidRPr="00F91553">
        <w:t>Acceptance of preparatory austerities (tapas)</w:t>
      </w:r>
    </w:p>
    <w:p w14:paraId="4B594317" w14:textId="77777777" w:rsidR="00F91553" w:rsidRPr="00F91553" w:rsidRDefault="00F91553" w:rsidP="00CB4C2E">
      <w:r w:rsidRPr="00F91553">
        <w:t>Grateful acknowledgement of instruction (</w:t>
      </w:r>
      <w:proofErr w:type="spellStart"/>
      <w:r w:rsidRPr="00F91553">
        <w:t>upahāra</w:t>
      </w:r>
      <w:r w:rsidRPr="00F91553">
        <w:noBreakHyphen/>
        <w:t>d</w:t>
      </w:r>
      <w:r w:rsidRPr="00F91553">
        <w:rPr>
          <w:rFonts w:ascii="Calibri" w:hAnsi="Calibri" w:cs="Calibri"/>
        </w:rPr>
        <w:t>ṛ</w:t>
      </w:r>
      <w:r w:rsidRPr="00F91553">
        <w:rPr>
          <w:rFonts w:ascii="Aptos" w:hAnsi="Aptos" w:cs="Aptos"/>
        </w:rPr>
        <w:t>ṣ</w:t>
      </w:r>
      <w:r w:rsidRPr="00F91553">
        <w:rPr>
          <w:rFonts w:ascii="Calibri" w:hAnsi="Calibri" w:cs="Calibri"/>
        </w:rPr>
        <w:t>ṭ</w:t>
      </w:r>
      <w:r w:rsidRPr="00F91553">
        <w:t>i</w:t>
      </w:r>
      <w:proofErr w:type="spellEnd"/>
      <w:r w:rsidRPr="00F91553">
        <w:t>)</w:t>
      </w:r>
    </w:p>
    <w:p w14:paraId="3A6FAC09" w14:textId="77777777" w:rsidR="00F91553" w:rsidRPr="00F91553" w:rsidRDefault="00F91553" w:rsidP="00CB4C2E">
      <w:r w:rsidRPr="00F91553">
        <w:t>Loyal adherence to the lineage (</w:t>
      </w:r>
      <w:proofErr w:type="spellStart"/>
      <w:r w:rsidRPr="00F91553">
        <w:t>paramparā</w:t>
      </w:r>
      <w:proofErr w:type="spellEnd"/>
      <w:r w:rsidRPr="00F91553">
        <w:noBreakHyphen/>
        <w:t>bhakti)</w:t>
      </w:r>
    </w:p>
    <w:p w14:paraId="6927B793" w14:textId="77777777" w:rsidR="00F91553" w:rsidRPr="00F91553" w:rsidRDefault="00F91553" w:rsidP="00CB4C2E">
      <w:r w:rsidRPr="00F91553">
        <w:t>Accurate recitation of scriptural aphorisms (</w:t>
      </w:r>
      <w:proofErr w:type="spellStart"/>
      <w:r w:rsidRPr="00F91553">
        <w:t>sūtra</w:t>
      </w:r>
      <w:r w:rsidRPr="00F91553">
        <w:noBreakHyphen/>
        <w:t>yathāpā</w:t>
      </w:r>
      <w:r w:rsidRPr="00F91553">
        <w:rPr>
          <w:rFonts w:ascii="Calibri" w:hAnsi="Calibri" w:cs="Calibri"/>
        </w:rPr>
        <w:t>ṭ</w:t>
      </w:r>
      <w:r w:rsidRPr="00F91553">
        <w:t>ha</w:t>
      </w:r>
      <w:proofErr w:type="spellEnd"/>
      <w:r w:rsidRPr="00F91553">
        <w:t>)</w:t>
      </w:r>
    </w:p>
    <w:p w14:paraId="33BA683B" w14:textId="55F4B500" w:rsidR="00F91553" w:rsidRDefault="00F91553" w:rsidP="00CB4C2E">
      <w:r w:rsidRPr="00F91553">
        <w:lastRenderedPageBreak/>
        <w:t>Penetrative hermeneutics</w:t>
      </w:r>
      <w:r w:rsidR="004349C6">
        <w:t>-</w:t>
      </w:r>
      <w:r w:rsidRPr="00F91553">
        <w:t>extracting literal, contextual, and transcendental meanings (</w:t>
      </w:r>
      <w:proofErr w:type="spellStart"/>
      <w:r w:rsidRPr="00F91553">
        <w:t>artha</w:t>
      </w:r>
      <w:r w:rsidRPr="00F91553">
        <w:noBreakHyphen/>
        <w:t>vyākhyā</w:t>
      </w:r>
      <w:proofErr w:type="spellEnd"/>
      <w:r w:rsidRPr="00F91553">
        <w:t>).</w:t>
      </w:r>
    </w:p>
    <w:p w14:paraId="2558C3FE" w14:textId="63E68186" w:rsidR="00431F94" w:rsidRPr="00431F94" w:rsidRDefault="00431F94" w:rsidP="00431F94">
      <w:r w:rsidRPr="00431F94">
        <w:rPr>
          <w:b/>
          <w:bCs/>
        </w:rPr>
        <w:t>Five Modes of Knowledge (</w:t>
      </w:r>
      <w:proofErr w:type="spellStart"/>
      <w:r w:rsidRPr="00431F94">
        <w:rPr>
          <w:b/>
          <w:bCs/>
        </w:rPr>
        <w:t>Pañca</w:t>
      </w:r>
      <w:r w:rsidRPr="00431F94">
        <w:rPr>
          <w:b/>
          <w:bCs/>
        </w:rPr>
        <w:noBreakHyphen/>
        <w:t>jñāna</w:t>
      </w:r>
      <w:proofErr w:type="spellEnd"/>
      <w:r w:rsidRPr="00431F94">
        <w:rPr>
          <w:b/>
          <w:bCs/>
        </w:rPr>
        <w:t>).</w:t>
      </w:r>
      <w:r w:rsidRPr="00431F94">
        <w:t xml:space="preserve"> Jain epistemology delineates a progressive quintet of cognitions, each governed by distinct karmic conditions and each demanding calibrated </w:t>
      </w:r>
      <w:r w:rsidRPr="00431F94">
        <w:t>discipline</w:t>
      </w:r>
      <w:r w:rsidRPr="00431F94">
        <w:t xml:space="preserve"> under </w:t>
      </w:r>
      <w:proofErr w:type="spellStart"/>
      <w:r w:rsidRPr="00431F94">
        <w:rPr>
          <w:b/>
          <w:bCs/>
        </w:rPr>
        <w:t>Jñānācāra</w:t>
      </w:r>
      <w:proofErr w:type="spellEnd"/>
      <w:r w:rsidRPr="00431F94">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1"/>
        <w:gridCol w:w="2152"/>
        <w:gridCol w:w="2010"/>
        <w:gridCol w:w="2133"/>
        <w:gridCol w:w="1639"/>
        <w:gridCol w:w="1315"/>
      </w:tblGrid>
      <w:tr w:rsidR="00431F94" w:rsidRPr="00431F94" w14:paraId="009B31EA" w14:textId="77777777" w:rsidTr="00431F94">
        <w:trPr>
          <w:tblCellSpacing w:w="15" w:type="dxa"/>
        </w:trPr>
        <w:tc>
          <w:tcPr>
            <w:tcW w:w="0" w:type="auto"/>
            <w:vAlign w:val="center"/>
          </w:tcPr>
          <w:p w14:paraId="5963B569" w14:textId="4A561AAF" w:rsidR="00431F94" w:rsidRPr="00431F94" w:rsidRDefault="00431F94" w:rsidP="00431F94">
            <w:pPr>
              <w:rPr>
                <w:b/>
                <w:bCs/>
              </w:rPr>
            </w:pPr>
          </w:p>
        </w:tc>
        <w:tc>
          <w:tcPr>
            <w:tcW w:w="0" w:type="auto"/>
            <w:vAlign w:val="center"/>
            <w:hideMark/>
          </w:tcPr>
          <w:p w14:paraId="61335CE7" w14:textId="77777777" w:rsidR="00431F94" w:rsidRPr="00431F94" w:rsidRDefault="00431F94" w:rsidP="00431F94">
            <w:pPr>
              <w:rPr>
                <w:b/>
                <w:bCs/>
              </w:rPr>
            </w:pPr>
            <w:r w:rsidRPr="00431F94">
              <w:rPr>
                <w:b/>
                <w:bCs/>
              </w:rPr>
              <w:t>Jain Term</w:t>
            </w:r>
          </w:p>
        </w:tc>
        <w:tc>
          <w:tcPr>
            <w:tcW w:w="0" w:type="auto"/>
            <w:vAlign w:val="center"/>
            <w:hideMark/>
          </w:tcPr>
          <w:p w14:paraId="0A7FE901" w14:textId="77777777" w:rsidR="00431F94" w:rsidRPr="00431F94" w:rsidRDefault="00431F94" w:rsidP="00431F94">
            <w:pPr>
              <w:rPr>
                <w:b/>
                <w:bCs/>
              </w:rPr>
            </w:pPr>
            <w:r w:rsidRPr="00431F94">
              <w:rPr>
                <w:b/>
                <w:bCs/>
              </w:rPr>
              <w:t>Domain</w:t>
            </w:r>
          </w:p>
        </w:tc>
        <w:tc>
          <w:tcPr>
            <w:tcW w:w="0" w:type="auto"/>
            <w:vAlign w:val="center"/>
            <w:hideMark/>
          </w:tcPr>
          <w:p w14:paraId="681A9218" w14:textId="77777777" w:rsidR="00431F94" w:rsidRPr="00431F94" w:rsidRDefault="00431F94" w:rsidP="00431F94">
            <w:pPr>
              <w:rPr>
                <w:b/>
                <w:bCs/>
              </w:rPr>
            </w:pPr>
            <w:r w:rsidRPr="00431F94">
              <w:rPr>
                <w:b/>
                <w:bCs/>
              </w:rPr>
              <w:t>Epistemic Mechanics</w:t>
            </w:r>
          </w:p>
        </w:tc>
        <w:tc>
          <w:tcPr>
            <w:tcW w:w="0" w:type="auto"/>
            <w:vAlign w:val="center"/>
            <w:hideMark/>
          </w:tcPr>
          <w:p w14:paraId="5E638E8A" w14:textId="77777777" w:rsidR="00431F94" w:rsidRPr="00431F94" w:rsidRDefault="00431F94" w:rsidP="00431F94">
            <w:pPr>
              <w:rPr>
                <w:b/>
                <w:bCs/>
              </w:rPr>
            </w:pPr>
            <w:r w:rsidRPr="00431F94">
              <w:rPr>
                <w:b/>
                <w:bCs/>
              </w:rPr>
              <w:t>Gleaned Via</w:t>
            </w:r>
          </w:p>
        </w:tc>
        <w:tc>
          <w:tcPr>
            <w:tcW w:w="0" w:type="auto"/>
            <w:vAlign w:val="center"/>
            <w:hideMark/>
          </w:tcPr>
          <w:p w14:paraId="2C602C96" w14:textId="77777777" w:rsidR="00431F94" w:rsidRPr="00431F94" w:rsidRDefault="00431F94" w:rsidP="00431F94">
            <w:pPr>
              <w:rPr>
                <w:b/>
                <w:bCs/>
              </w:rPr>
            </w:pPr>
            <w:r w:rsidRPr="00431F94">
              <w:rPr>
                <w:b/>
                <w:bCs/>
              </w:rPr>
              <w:t>Temporal Scope</w:t>
            </w:r>
          </w:p>
        </w:tc>
      </w:tr>
      <w:tr w:rsidR="00431F94" w:rsidRPr="00431F94" w14:paraId="073C780F" w14:textId="77777777" w:rsidTr="00431F94">
        <w:trPr>
          <w:tblCellSpacing w:w="15" w:type="dxa"/>
        </w:trPr>
        <w:tc>
          <w:tcPr>
            <w:tcW w:w="0" w:type="auto"/>
            <w:vAlign w:val="center"/>
          </w:tcPr>
          <w:p w14:paraId="5CD6930E" w14:textId="644A95F8" w:rsidR="00431F94" w:rsidRPr="00431F94" w:rsidRDefault="00431F94" w:rsidP="00431F94"/>
        </w:tc>
        <w:tc>
          <w:tcPr>
            <w:tcW w:w="0" w:type="auto"/>
            <w:vAlign w:val="center"/>
            <w:hideMark/>
          </w:tcPr>
          <w:p w14:paraId="2ED47101" w14:textId="77777777" w:rsidR="00431F94" w:rsidRPr="00431F94" w:rsidRDefault="00431F94" w:rsidP="00431F94">
            <w:r w:rsidRPr="00431F94">
              <w:rPr>
                <w:i/>
                <w:iCs/>
              </w:rPr>
              <w:t>Mati</w:t>
            </w:r>
            <w:r w:rsidRPr="00431F94">
              <w:rPr>
                <w:i/>
                <w:iCs/>
              </w:rPr>
              <w:noBreakHyphen/>
            </w:r>
            <w:proofErr w:type="spellStart"/>
            <w:r w:rsidRPr="00431F94">
              <w:rPr>
                <w:i/>
                <w:iCs/>
              </w:rPr>
              <w:t>jñāna</w:t>
            </w:r>
            <w:proofErr w:type="spellEnd"/>
          </w:p>
        </w:tc>
        <w:tc>
          <w:tcPr>
            <w:tcW w:w="0" w:type="auto"/>
            <w:vAlign w:val="center"/>
            <w:hideMark/>
          </w:tcPr>
          <w:p w14:paraId="27000E67" w14:textId="77777777" w:rsidR="00431F94" w:rsidRPr="00431F94" w:rsidRDefault="00431F94" w:rsidP="00431F94">
            <w:r w:rsidRPr="00431F94">
              <w:t>Sensory/Empirical</w:t>
            </w:r>
          </w:p>
        </w:tc>
        <w:tc>
          <w:tcPr>
            <w:tcW w:w="0" w:type="auto"/>
            <w:vAlign w:val="center"/>
            <w:hideMark/>
          </w:tcPr>
          <w:p w14:paraId="4835537E" w14:textId="77777777" w:rsidR="00431F94" w:rsidRPr="00431F94" w:rsidRDefault="00431F94" w:rsidP="00431F94">
            <w:r w:rsidRPr="00431F94">
              <w:t xml:space="preserve">Cognition arises as raw percepts are </w:t>
            </w:r>
            <w:proofErr w:type="spellStart"/>
            <w:r w:rsidRPr="00431F94">
              <w:t>organised</w:t>
            </w:r>
            <w:proofErr w:type="spellEnd"/>
            <w:r w:rsidRPr="00431F94">
              <w:t xml:space="preserve"> by mind (</w:t>
            </w:r>
            <w:r w:rsidRPr="00431F94">
              <w:rPr>
                <w:i/>
                <w:iCs/>
              </w:rPr>
              <w:t>manas</w:t>
            </w:r>
            <w:r w:rsidRPr="00431F94">
              <w:t xml:space="preserve">) and five senses (sight, hearing, smell, taste, touch). The soul interfaces only indirectly, hence classed as </w:t>
            </w:r>
            <w:proofErr w:type="spellStart"/>
            <w:r w:rsidRPr="00431F94">
              <w:rPr>
                <w:i/>
                <w:iCs/>
              </w:rPr>
              <w:t>parokṣa</w:t>
            </w:r>
            <w:proofErr w:type="spellEnd"/>
            <w:r w:rsidRPr="00431F94">
              <w:t xml:space="preserve"> (indirect).</w:t>
            </w:r>
          </w:p>
        </w:tc>
        <w:tc>
          <w:tcPr>
            <w:tcW w:w="0" w:type="auto"/>
            <w:vAlign w:val="center"/>
            <w:hideMark/>
          </w:tcPr>
          <w:p w14:paraId="40D0ECF4" w14:textId="77777777" w:rsidR="00431F94" w:rsidRPr="00431F94" w:rsidRDefault="00431F94" w:rsidP="00431F94">
            <w:r w:rsidRPr="00431F94">
              <w:t>Observation, inference, experimentation</w:t>
            </w:r>
          </w:p>
        </w:tc>
        <w:tc>
          <w:tcPr>
            <w:tcW w:w="0" w:type="auto"/>
            <w:vAlign w:val="center"/>
            <w:hideMark/>
          </w:tcPr>
          <w:p w14:paraId="2A1F20DD" w14:textId="77777777" w:rsidR="00431F94" w:rsidRPr="00431F94" w:rsidRDefault="00431F94" w:rsidP="00431F94">
            <w:r w:rsidRPr="00431F94">
              <w:t>Present phenomena</w:t>
            </w:r>
          </w:p>
        </w:tc>
      </w:tr>
      <w:tr w:rsidR="00431F94" w:rsidRPr="00431F94" w14:paraId="15166961" w14:textId="77777777" w:rsidTr="00431F94">
        <w:trPr>
          <w:tblCellSpacing w:w="15" w:type="dxa"/>
        </w:trPr>
        <w:tc>
          <w:tcPr>
            <w:tcW w:w="0" w:type="auto"/>
            <w:vAlign w:val="center"/>
          </w:tcPr>
          <w:p w14:paraId="35D68CA6" w14:textId="1C68489A" w:rsidR="00431F94" w:rsidRPr="00431F94" w:rsidRDefault="00431F94" w:rsidP="00431F94"/>
        </w:tc>
        <w:tc>
          <w:tcPr>
            <w:tcW w:w="0" w:type="auto"/>
            <w:vAlign w:val="center"/>
            <w:hideMark/>
          </w:tcPr>
          <w:p w14:paraId="02DE94CD" w14:textId="77777777" w:rsidR="00431F94" w:rsidRPr="00431F94" w:rsidRDefault="00431F94" w:rsidP="00431F94">
            <w:r w:rsidRPr="00431F94">
              <w:rPr>
                <w:i/>
                <w:iCs/>
              </w:rPr>
              <w:t>Śruta</w:t>
            </w:r>
            <w:r w:rsidRPr="00431F94">
              <w:rPr>
                <w:i/>
                <w:iCs/>
              </w:rPr>
              <w:noBreakHyphen/>
            </w:r>
            <w:proofErr w:type="spellStart"/>
            <w:r w:rsidRPr="00431F94">
              <w:rPr>
                <w:i/>
                <w:iCs/>
              </w:rPr>
              <w:t>jñāna</w:t>
            </w:r>
            <w:proofErr w:type="spellEnd"/>
          </w:p>
        </w:tc>
        <w:tc>
          <w:tcPr>
            <w:tcW w:w="0" w:type="auto"/>
            <w:vAlign w:val="center"/>
            <w:hideMark/>
          </w:tcPr>
          <w:p w14:paraId="2FFF1D71" w14:textId="77777777" w:rsidR="00431F94" w:rsidRPr="00431F94" w:rsidRDefault="00431F94" w:rsidP="00431F94">
            <w:r w:rsidRPr="00431F94">
              <w:t>Articulate/Scriptural</w:t>
            </w:r>
          </w:p>
        </w:tc>
        <w:tc>
          <w:tcPr>
            <w:tcW w:w="0" w:type="auto"/>
            <w:vAlign w:val="center"/>
            <w:hideMark/>
          </w:tcPr>
          <w:p w14:paraId="69194EE5" w14:textId="77777777" w:rsidR="00431F94" w:rsidRPr="00431F94" w:rsidRDefault="00431F94" w:rsidP="00431F94">
            <w:r w:rsidRPr="00431F94">
              <w:t>Sensory data are encoded in linguistic or symbolic form, enabling conceptual abstraction across past–present–future. Requires transmission from competent teachers (</w:t>
            </w:r>
            <w:proofErr w:type="spellStart"/>
            <w:r w:rsidRPr="00431F94">
              <w:rPr>
                <w:i/>
                <w:iCs/>
              </w:rPr>
              <w:t>ācārya</w:t>
            </w:r>
            <w:proofErr w:type="spellEnd"/>
            <w:r w:rsidRPr="00431F94">
              <w:t>), thus contingent on pedagogic lineage.</w:t>
            </w:r>
          </w:p>
        </w:tc>
        <w:tc>
          <w:tcPr>
            <w:tcW w:w="0" w:type="auto"/>
            <w:vAlign w:val="center"/>
            <w:hideMark/>
          </w:tcPr>
          <w:p w14:paraId="0AF485AE" w14:textId="77777777" w:rsidR="00431F94" w:rsidRPr="00431F94" w:rsidRDefault="00431F94" w:rsidP="00431F94">
            <w:r w:rsidRPr="00431F94">
              <w:t>Spoken and written language, symbols, signs</w:t>
            </w:r>
          </w:p>
        </w:tc>
        <w:tc>
          <w:tcPr>
            <w:tcW w:w="0" w:type="auto"/>
            <w:vAlign w:val="center"/>
            <w:hideMark/>
          </w:tcPr>
          <w:p w14:paraId="61B9198F" w14:textId="77777777" w:rsidR="00431F94" w:rsidRPr="00431F94" w:rsidRDefault="00431F94" w:rsidP="00431F94">
            <w:r w:rsidRPr="00431F94">
              <w:t>Past, present, future</w:t>
            </w:r>
          </w:p>
        </w:tc>
      </w:tr>
      <w:tr w:rsidR="00431F94" w:rsidRPr="00431F94" w14:paraId="7CB19B0E" w14:textId="77777777" w:rsidTr="00431F94">
        <w:trPr>
          <w:tblCellSpacing w:w="15" w:type="dxa"/>
        </w:trPr>
        <w:tc>
          <w:tcPr>
            <w:tcW w:w="0" w:type="auto"/>
            <w:vAlign w:val="center"/>
          </w:tcPr>
          <w:p w14:paraId="17D56D55" w14:textId="67B5F8EF" w:rsidR="00431F94" w:rsidRPr="00431F94" w:rsidRDefault="00431F94" w:rsidP="00431F94"/>
        </w:tc>
        <w:tc>
          <w:tcPr>
            <w:tcW w:w="0" w:type="auto"/>
            <w:vAlign w:val="center"/>
            <w:hideMark/>
          </w:tcPr>
          <w:p w14:paraId="71D0071B" w14:textId="77777777" w:rsidR="00431F94" w:rsidRPr="00431F94" w:rsidRDefault="00431F94" w:rsidP="00431F94">
            <w:r w:rsidRPr="00431F94">
              <w:rPr>
                <w:i/>
                <w:iCs/>
              </w:rPr>
              <w:t>Avadhi</w:t>
            </w:r>
            <w:r w:rsidRPr="00431F94">
              <w:rPr>
                <w:i/>
                <w:iCs/>
              </w:rPr>
              <w:noBreakHyphen/>
            </w:r>
            <w:proofErr w:type="spellStart"/>
            <w:r w:rsidRPr="00431F94">
              <w:rPr>
                <w:i/>
                <w:iCs/>
              </w:rPr>
              <w:t>jñāna</w:t>
            </w:r>
            <w:proofErr w:type="spellEnd"/>
          </w:p>
        </w:tc>
        <w:tc>
          <w:tcPr>
            <w:tcW w:w="0" w:type="auto"/>
            <w:vAlign w:val="center"/>
            <w:hideMark/>
          </w:tcPr>
          <w:p w14:paraId="54AD7D9C" w14:textId="77777777" w:rsidR="00431F94" w:rsidRPr="00431F94" w:rsidRDefault="00431F94" w:rsidP="00431F94">
            <w:r w:rsidRPr="00431F94">
              <w:t>Clairvoyant</w:t>
            </w:r>
          </w:p>
        </w:tc>
        <w:tc>
          <w:tcPr>
            <w:tcW w:w="0" w:type="auto"/>
            <w:vAlign w:val="center"/>
            <w:hideMark/>
          </w:tcPr>
          <w:p w14:paraId="1EB8AB9B" w14:textId="77777777" w:rsidR="00431F94" w:rsidRPr="00431F94" w:rsidRDefault="00431F94" w:rsidP="00431F94">
            <w:r w:rsidRPr="00431F94">
              <w:t>Extra</w:t>
            </w:r>
            <w:r w:rsidRPr="00431F94">
              <w:noBreakHyphen/>
              <w:t>sensory apprehension of material objects (</w:t>
            </w:r>
            <w:proofErr w:type="spellStart"/>
            <w:r w:rsidRPr="00431F94">
              <w:rPr>
                <w:i/>
                <w:iCs/>
              </w:rPr>
              <w:t>rūpī</w:t>
            </w:r>
            <w:proofErr w:type="spellEnd"/>
            <w:r w:rsidRPr="00431F94">
              <w:rPr>
                <w:i/>
                <w:iCs/>
              </w:rPr>
              <w:t xml:space="preserve"> </w:t>
            </w:r>
            <w:proofErr w:type="spellStart"/>
            <w:r w:rsidRPr="00431F94">
              <w:rPr>
                <w:i/>
                <w:iCs/>
              </w:rPr>
              <w:t>padārtha</w:t>
            </w:r>
            <w:proofErr w:type="spellEnd"/>
            <w:r w:rsidRPr="00431F94">
              <w:t>) within bounded limits of substance, space, time, and mode (</w:t>
            </w:r>
            <w:proofErr w:type="spellStart"/>
            <w:r w:rsidRPr="00431F94">
              <w:rPr>
                <w:i/>
                <w:iCs/>
              </w:rPr>
              <w:t>dravya</w:t>
            </w:r>
            <w:proofErr w:type="spellEnd"/>
            <w:r w:rsidRPr="00431F94">
              <w:rPr>
                <w:i/>
                <w:iCs/>
              </w:rPr>
              <w:t xml:space="preserve">, </w:t>
            </w:r>
            <w:proofErr w:type="spellStart"/>
            <w:r w:rsidRPr="00431F94">
              <w:rPr>
                <w:i/>
                <w:iCs/>
              </w:rPr>
              <w:t>kṣetra</w:t>
            </w:r>
            <w:proofErr w:type="spellEnd"/>
            <w:r w:rsidRPr="00431F94">
              <w:rPr>
                <w:i/>
                <w:iCs/>
              </w:rPr>
              <w:t xml:space="preserve">, </w:t>
            </w:r>
            <w:proofErr w:type="spellStart"/>
            <w:r w:rsidRPr="00431F94">
              <w:rPr>
                <w:i/>
                <w:iCs/>
              </w:rPr>
              <w:t>kāla</w:t>
            </w:r>
            <w:proofErr w:type="spellEnd"/>
            <w:r w:rsidRPr="00431F94">
              <w:rPr>
                <w:i/>
                <w:iCs/>
              </w:rPr>
              <w:t xml:space="preserve">, </w:t>
            </w:r>
            <w:proofErr w:type="spellStart"/>
            <w:r w:rsidRPr="00431F94">
              <w:rPr>
                <w:i/>
                <w:iCs/>
              </w:rPr>
              <w:t>bhāva</w:t>
            </w:r>
            <w:proofErr w:type="spellEnd"/>
            <w:r w:rsidRPr="00431F94">
              <w:t>). Achieved through austerity among humans; innate to heavenly and infernal beings.</w:t>
            </w:r>
          </w:p>
        </w:tc>
        <w:tc>
          <w:tcPr>
            <w:tcW w:w="0" w:type="auto"/>
            <w:vAlign w:val="center"/>
            <w:hideMark/>
          </w:tcPr>
          <w:p w14:paraId="2D9C1C4C" w14:textId="77777777" w:rsidR="00431F94" w:rsidRPr="00431F94" w:rsidRDefault="00431F94" w:rsidP="00431F94">
            <w:r w:rsidRPr="00431F94">
              <w:t>Occult intuition; no sensory organ</w:t>
            </w:r>
          </w:p>
        </w:tc>
        <w:tc>
          <w:tcPr>
            <w:tcW w:w="0" w:type="auto"/>
            <w:vAlign w:val="center"/>
            <w:hideMark/>
          </w:tcPr>
          <w:p w14:paraId="58F651EB" w14:textId="77777777" w:rsidR="00431F94" w:rsidRPr="00431F94" w:rsidRDefault="00431F94" w:rsidP="00431F94">
            <w:r w:rsidRPr="00431F94">
              <w:t>Finite but supranormal</w:t>
            </w:r>
          </w:p>
        </w:tc>
      </w:tr>
      <w:tr w:rsidR="00431F94" w:rsidRPr="00431F94" w14:paraId="34B1EE07" w14:textId="77777777" w:rsidTr="00431F94">
        <w:trPr>
          <w:tblCellSpacing w:w="15" w:type="dxa"/>
        </w:trPr>
        <w:tc>
          <w:tcPr>
            <w:tcW w:w="0" w:type="auto"/>
            <w:vAlign w:val="center"/>
          </w:tcPr>
          <w:p w14:paraId="44965D80" w14:textId="4B1BE37B" w:rsidR="00431F94" w:rsidRPr="00431F94" w:rsidRDefault="00431F94" w:rsidP="00431F94"/>
        </w:tc>
        <w:tc>
          <w:tcPr>
            <w:tcW w:w="0" w:type="auto"/>
            <w:vAlign w:val="center"/>
            <w:hideMark/>
          </w:tcPr>
          <w:p w14:paraId="578DC340" w14:textId="77777777" w:rsidR="00431F94" w:rsidRPr="00431F94" w:rsidRDefault="00431F94" w:rsidP="00431F94">
            <w:proofErr w:type="spellStart"/>
            <w:r w:rsidRPr="00431F94">
              <w:rPr>
                <w:i/>
                <w:iCs/>
              </w:rPr>
              <w:t>Mana</w:t>
            </w:r>
            <w:r w:rsidRPr="00431F94">
              <w:rPr>
                <w:rFonts w:ascii="Calibri" w:hAnsi="Calibri" w:cs="Calibri"/>
                <w:i/>
                <w:iCs/>
              </w:rPr>
              <w:t>ḥ</w:t>
            </w:r>
            <w:r w:rsidRPr="00431F94">
              <w:rPr>
                <w:i/>
                <w:iCs/>
              </w:rPr>
              <w:noBreakHyphen/>
              <w:t>paryāya</w:t>
            </w:r>
            <w:r w:rsidRPr="00431F94">
              <w:rPr>
                <w:i/>
                <w:iCs/>
              </w:rPr>
              <w:noBreakHyphen/>
              <w:t>jñāna</w:t>
            </w:r>
            <w:proofErr w:type="spellEnd"/>
          </w:p>
        </w:tc>
        <w:tc>
          <w:tcPr>
            <w:tcW w:w="0" w:type="auto"/>
            <w:vAlign w:val="center"/>
            <w:hideMark/>
          </w:tcPr>
          <w:p w14:paraId="74886096" w14:textId="77777777" w:rsidR="00431F94" w:rsidRPr="00431F94" w:rsidRDefault="00431F94" w:rsidP="00431F94">
            <w:r w:rsidRPr="00431F94">
              <w:t>Telepathic</w:t>
            </w:r>
          </w:p>
        </w:tc>
        <w:tc>
          <w:tcPr>
            <w:tcW w:w="0" w:type="auto"/>
            <w:vAlign w:val="center"/>
            <w:hideMark/>
          </w:tcPr>
          <w:p w14:paraId="2EEE61BD" w14:textId="77777777" w:rsidR="00431F94" w:rsidRPr="00431F94" w:rsidRDefault="00431F94" w:rsidP="00431F94">
            <w:r w:rsidRPr="00431F94">
              <w:t>Direct insight into the thought</w:t>
            </w:r>
            <w:r w:rsidRPr="00431F94">
              <w:noBreakHyphen/>
              <w:t xml:space="preserve">streams of other embodied beings. Two grades: </w:t>
            </w:r>
            <w:proofErr w:type="spellStart"/>
            <w:r w:rsidRPr="00431F94">
              <w:rPr>
                <w:i/>
                <w:iCs/>
              </w:rPr>
              <w:t>rju</w:t>
            </w:r>
            <w:r w:rsidRPr="00431F94">
              <w:rPr>
                <w:i/>
                <w:iCs/>
              </w:rPr>
              <w:noBreakHyphen/>
              <w:t>mati</w:t>
            </w:r>
            <w:proofErr w:type="spellEnd"/>
            <w:r w:rsidRPr="00431F94">
              <w:t xml:space="preserve"> (transient) and </w:t>
            </w:r>
            <w:proofErr w:type="spellStart"/>
            <w:r w:rsidRPr="00431F94">
              <w:rPr>
                <w:i/>
                <w:iCs/>
              </w:rPr>
              <w:t>vipulā</w:t>
            </w:r>
            <w:r w:rsidRPr="00431F94">
              <w:rPr>
                <w:i/>
                <w:iCs/>
              </w:rPr>
              <w:noBreakHyphen/>
              <w:t>mati</w:t>
            </w:r>
            <w:proofErr w:type="spellEnd"/>
            <w:r w:rsidRPr="00431F94">
              <w:t xml:space="preserve"> (durable until omniscience). Reserved for advanced ascetics who have stilled gross passions.</w:t>
            </w:r>
          </w:p>
        </w:tc>
        <w:tc>
          <w:tcPr>
            <w:tcW w:w="0" w:type="auto"/>
            <w:vAlign w:val="center"/>
            <w:hideMark/>
          </w:tcPr>
          <w:p w14:paraId="0A286442" w14:textId="77777777" w:rsidR="00431F94" w:rsidRPr="00431F94" w:rsidRDefault="00431F94" w:rsidP="00431F94">
            <w:r w:rsidRPr="00431F94">
              <w:t>Mind</w:t>
            </w:r>
            <w:r w:rsidRPr="00431F94">
              <w:noBreakHyphen/>
              <w:t>mind resonance</w:t>
            </w:r>
          </w:p>
        </w:tc>
        <w:tc>
          <w:tcPr>
            <w:tcW w:w="0" w:type="auto"/>
            <w:vAlign w:val="center"/>
            <w:hideMark/>
          </w:tcPr>
          <w:p w14:paraId="4A9AEE39" w14:textId="77777777" w:rsidR="00431F94" w:rsidRPr="00431F94" w:rsidRDefault="00431F94" w:rsidP="00431F94">
            <w:r w:rsidRPr="00431F94">
              <w:t>Finite; restricted to mental states</w:t>
            </w:r>
          </w:p>
        </w:tc>
      </w:tr>
      <w:tr w:rsidR="00431F94" w:rsidRPr="00431F94" w14:paraId="7CE3EEE5" w14:textId="77777777" w:rsidTr="00431F94">
        <w:trPr>
          <w:tblCellSpacing w:w="15" w:type="dxa"/>
        </w:trPr>
        <w:tc>
          <w:tcPr>
            <w:tcW w:w="0" w:type="auto"/>
            <w:vAlign w:val="center"/>
          </w:tcPr>
          <w:p w14:paraId="29055CE9" w14:textId="07F2CCCA" w:rsidR="00431F94" w:rsidRPr="00431F94" w:rsidRDefault="00431F94" w:rsidP="00431F94"/>
        </w:tc>
        <w:tc>
          <w:tcPr>
            <w:tcW w:w="0" w:type="auto"/>
            <w:vAlign w:val="center"/>
            <w:hideMark/>
          </w:tcPr>
          <w:p w14:paraId="4DCA0C5E" w14:textId="77777777" w:rsidR="00431F94" w:rsidRPr="00431F94" w:rsidRDefault="00431F94" w:rsidP="00431F94">
            <w:r w:rsidRPr="00431F94">
              <w:rPr>
                <w:i/>
                <w:iCs/>
              </w:rPr>
              <w:t>Kevala</w:t>
            </w:r>
            <w:r w:rsidRPr="00431F94">
              <w:rPr>
                <w:i/>
                <w:iCs/>
              </w:rPr>
              <w:noBreakHyphen/>
            </w:r>
            <w:proofErr w:type="spellStart"/>
            <w:r w:rsidRPr="00431F94">
              <w:rPr>
                <w:i/>
                <w:iCs/>
              </w:rPr>
              <w:t>jñāna</w:t>
            </w:r>
            <w:proofErr w:type="spellEnd"/>
          </w:p>
        </w:tc>
        <w:tc>
          <w:tcPr>
            <w:tcW w:w="0" w:type="auto"/>
            <w:vAlign w:val="center"/>
            <w:hideMark/>
          </w:tcPr>
          <w:p w14:paraId="5B49550D" w14:textId="77777777" w:rsidR="00431F94" w:rsidRPr="00431F94" w:rsidRDefault="00431F94" w:rsidP="00431F94">
            <w:r w:rsidRPr="00431F94">
              <w:t>Omniscience</w:t>
            </w:r>
          </w:p>
        </w:tc>
        <w:tc>
          <w:tcPr>
            <w:tcW w:w="0" w:type="auto"/>
            <w:vAlign w:val="center"/>
            <w:hideMark/>
          </w:tcPr>
          <w:p w14:paraId="2750CAEF" w14:textId="77777777" w:rsidR="00431F94" w:rsidRPr="00431F94" w:rsidRDefault="00431F94" w:rsidP="00431F94">
            <w:r w:rsidRPr="00431F94">
              <w:t xml:space="preserve">Perfect, limitless, and instantaneous cognition of all substances and their infinite modes across the three times. Manifests only after total eradication of </w:t>
            </w:r>
            <w:r w:rsidRPr="00431F94">
              <w:lastRenderedPageBreak/>
              <w:t>knowledge</w:t>
            </w:r>
            <w:r w:rsidRPr="00431F94">
              <w:noBreakHyphen/>
              <w:t>obscuring karmas. Immutable and eternal once kindled.</w:t>
            </w:r>
          </w:p>
        </w:tc>
        <w:tc>
          <w:tcPr>
            <w:tcW w:w="0" w:type="auto"/>
            <w:vAlign w:val="center"/>
            <w:hideMark/>
          </w:tcPr>
          <w:p w14:paraId="61860C49" w14:textId="77777777" w:rsidR="00431F94" w:rsidRPr="00431F94" w:rsidRDefault="00431F94" w:rsidP="00431F94">
            <w:r w:rsidRPr="00431F94">
              <w:lastRenderedPageBreak/>
              <w:t>Inherent luminosity of the liberated soul</w:t>
            </w:r>
          </w:p>
        </w:tc>
        <w:tc>
          <w:tcPr>
            <w:tcW w:w="0" w:type="auto"/>
            <w:vAlign w:val="center"/>
            <w:hideMark/>
          </w:tcPr>
          <w:p w14:paraId="6E924813" w14:textId="77777777" w:rsidR="00431F94" w:rsidRPr="00431F94" w:rsidRDefault="00431F94" w:rsidP="00431F94">
            <w:r w:rsidRPr="00431F94">
              <w:t xml:space="preserve">Infinite, </w:t>
            </w:r>
            <w:proofErr w:type="spellStart"/>
            <w:r w:rsidRPr="00431F94">
              <w:t>simultaneou</w:t>
            </w:r>
            <w:proofErr w:type="spellEnd"/>
          </w:p>
        </w:tc>
      </w:tr>
    </w:tbl>
    <w:p w14:paraId="6AF31741" w14:textId="77777777" w:rsidR="00431F94" w:rsidRPr="00F91553" w:rsidRDefault="00431F94" w:rsidP="00CB4C2E"/>
    <w:p w14:paraId="727DE955" w14:textId="08D3315A" w:rsidR="00431F94" w:rsidRPr="00431F94" w:rsidRDefault="00431F94" w:rsidP="00431F94">
      <w:r w:rsidRPr="00431F94">
        <w:t>P</w:t>
      </w:r>
      <w:r w:rsidRPr="00431F94">
        <w:t xml:space="preserve">edagogical Interlinkage. Mati and Śruta function as cause and effect: articulate knowledge presupposes prior sensory apprehension. </w:t>
      </w:r>
      <w:r w:rsidRPr="00431F94">
        <w:t>Nevertheless,</w:t>
      </w:r>
      <w:r w:rsidRPr="00431F94">
        <w:t xml:space="preserve"> Śruta surpasses Mati in scope and purity, traversing tri</w:t>
      </w:r>
      <w:r w:rsidRPr="00431F94">
        <w:noBreakHyphen/>
        <w:t xml:space="preserve">temporal realities and demanding linguistic dexterity cultivated by </w:t>
      </w:r>
      <w:proofErr w:type="spellStart"/>
      <w:r w:rsidRPr="00431F94">
        <w:t>Jñānācāra’s</w:t>
      </w:r>
      <w:proofErr w:type="spellEnd"/>
      <w:r w:rsidRPr="00431F94">
        <w:t xml:space="preserve"> eight sub</w:t>
      </w:r>
      <w:r w:rsidRPr="00431F94">
        <w:noBreakHyphen/>
        <w:t xml:space="preserve">codes (timely study, reverence for teachers, etc.). The latter three knowledges are </w:t>
      </w:r>
      <w:proofErr w:type="spellStart"/>
      <w:r w:rsidRPr="00431F94">
        <w:t>pratyakṣa</w:t>
      </w:r>
      <w:proofErr w:type="spellEnd"/>
      <w:r w:rsidRPr="00431F94">
        <w:t xml:space="preserve"> (direct), flowering naturally as karmic veils attenuate through </w:t>
      </w:r>
      <w:proofErr w:type="spellStart"/>
      <w:r w:rsidRPr="00431F94">
        <w:t>Tapācāra</w:t>
      </w:r>
      <w:proofErr w:type="spellEnd"/>
      <w:r w:rsidRPr="00431F94">
        <w:t xml:space="preserve"> and </w:t>
      </w:r>
      <w:proofErr w:type="spellStart"/>
      <w:r w:rsidRPr="00431F94">
        <w:t>Cāritrācāra</w:t>
      </w:r>
      <w:proofErr w:type="spellEnd"/>
      <w:r w:rsidRPr="00431F94">
        <w:t>.</w:t>
      </w:r>
    </w:p>
    <w:p w14:paraId="636D50EC" w14:textId="77777777" w:rsidR="00431F94" w:rsidRPr="00431F94" w:rsidRDefault="00431F94" w:rsidP="00431F94">
      <w:r w:rsidRPr="00431F94">
        <w:t xml:space="preserve">Disciplinary Implications. For practitioners, </w:t>
      </w:r>
      <w:proofErr w:type="spellStart"/>
      <w:r w:rsidRPr="00431F94">
        <w:t>Jñānācāra</w:t>
      </w:r>
      <w:proofErr w:type="spellEnd"/>
      <w:r w:rsidRPr="00431F94">
        <w:t xml:space="preserve"> prescribes graded </w:t>
      </w:r>
      <w:proofErr w:type="spellStart"/>
      <w:r w:rsidRPr="00431F94">
        <w:t>sādhanās</w:t>
      </w:r>
      <w:proofErr w:type="spellEnd"/>
      <w:r w:rsidRPr="00431F94">
        <w:t>: cultivate pristine sense</w:t>
      </w:r>
      <w:r w:rsidRPr="00431F94">
        <w:noBreakHyphen/>
        <w:t>data (</w:t>
      </w:r>
      <w:proofErr w:type="spellStart"/>
      <w:r w:rsidRPr="00431F94">
        <w:t>mati</w:t>
      </w:r>
      <w:proofErr w:type="spellEnd"/>
      <w:r w:rsidRPr="00431F94">
        <w:t>), then validate via scriptural hermeneutics (</w:t>
      </w:r>
      <w:proofErr w:type="spellStart"/>
      <w:r w:rsidRPr="00431F94">
        <w:t>śruta</w:t>
      </w:r>
      <w:proofErr w:type="spellEnd"/>
      <w:r w:rsidRPr="00431F94">
        <w:t>); reinforce with contemplative silence and fasting to kindle latent clairvoyance (</w:t>
      </w:r>
      <w:proofErr w:type="spellStart"/>
      <w:r w:rsidRPr="00431F94">
        <w:t>avadhi</w:t>
      </w:r>
      <w:proofErr w:type="spellEnd"/>
      <w:r w:rsidRPr="00431F94">
        <w:t>); refine empathy and non</w:t>
      </w:r>
      <w:r w:rsidRPr="00431F94">
        <w:noBreakHyphen/>
        <w:t>violence to unlock telepathy (</w:t>
      </w:r>
      <w:proofErr w:type="spellStart"/>
      <w:r w:rsidRPr="00431F94">
        <w:t>mana</w:t>
      </w:r>
      <w:r w:rsidRPr="00431F94">
        <w:rPr>
          <w:rFonts w:ascii="Calibri" w:hAnsi="Calibri" w:cs="Calibri"/>
        </w:rPr>
        <w:t>ḥ</w:t>
      </w:r>
      <w:r w:rsidRPr="00431F94">
        <w:noBreakHyphen/>
        <w:t>paryāya</w:t>
      </w:r>
      <w:proofErr w:type="spellEnd"/>
      <w:r w:rsidRPr="00431F94">
        <w:t xml:space="preserve">); finally, </w:t>
      </w:r>
      <w:proofErr w:type="spellStart"/>
      <w:r w:rsidRPr="00431F94">
        <w:t>harmonise</w:t>
      </w:r>
      <w:proofErr w:type="spellEnd"/>
      <w:r w:rsidRPr="00431F94">
        <w:t xml:space="preserve"> all five </w:t>
      </w:r>
      <w:proofErr w:type="spellStart"/>
      <w:r w:rsidRPr="00431F94">
        <w:t>ācāras</w:t>
      </w:r>
      <w:proofErr w:type="spellEnd"/>
      <w:r w:rsidRPr="00431F94">
        <w:t xml:space="preserve"> to ripen the seed of omniscience (</w:t>
      </w:r>
      <w:proofErr w:type="spellStart"/>
      <w:r w:rsidRPr="00431F94">
        <w:t>kevala</w:t>
      </w:r>
      <w:proofErr w:type="spellEnd"/>
      <w:r w:rsidRPr="00431F94">
        <w:t>).</w:t>
      </w:r>
    </w:p>
    <w:p w14:paraId="7D84EE0E" w14:textId="4E7FD53A" w:rsidR="00F91553" w:rsidRPr="00F91553" w:rsidRDefault="00F91553" w:rsidP="00CB4C2E">
      <w:r w:rsidRPr="00F91553">
        <w:rPr>
          <w:b/>
          <w:bCs/>
        </w:rPr>
        <w:t xml:space="preserve">Obstacles and Antidotes. </w:t>
      </w:r>
      <w:r w:rsidRPr="00F91553">
        <w:t>Primary impediments (</w:t>
      </w:r>
      <w:proofErr w:type="spellStart"/>
      <w:r w:rsidRPr="00F91553">
        <w:t>antarāya</w:t>
      </w:r>
      <w:proofErr w:type="spellEnd"/>
      <w:r w:rsidRPr="00F91553">
        <w:t xml:space="preserve"> karma) include lethargy, distraction (</w:t>
      </w:r>
      <w:proofErr w:type="spellStart"/>
      <w:r w:rsidRPr="00F91553">
        <w:t>vikṣepa</w:t>
      </w:r>
      <w:proofErr w:type="spellEnd"/>
      <w:r w:rsidRPr="00F91553">
        <w:t>), and pride</w:t>
      </w:r>
      <w:r w:rsidR="004349C6">
        <w:t>.</w:t>
      </w:r>
      <w:r w:rsidR="004349C6">
        <w:rPr>
          <w:rStyle w:val="FootnoteReference"/>
        </w:rPr>
        <w:footnoteReference w:id="7"/>
      </w:r>
      <w:r w:rsidR="004349C6">
        <w:t xml:space="preserve"> </w:t>
      </w:r>
      <w:r w:rsidRPr="00F91553">
        <w:t xml:space="preserve"> </w:t>
      </w:r>
      <w:proofErr w:type="spellStart"/>
      <w:r w:rsidRPr="00F91553">
        <w:t>Ritualised</w:t>
      </w:r>
      <w:proofErr w:type="spellEnd"/>
      <w:r w:rsidRPr="00F91553">
        <w:t xml:space="preserve"> confession (</w:t>
      </w:r>
      <w:proofErr w:type="spellStart"/>
      <w:r w:rsidRPr="00F91553">
        <w:t>pratikrama</w:t>
      </w:r>
      <w:r w:rsidRPr="00F91553">
        <w:rPr>
          <w:rFonts w:ascii="Calibri" w:hAnsi="Calibri" w:cs="Calibri"/>
        </w:rPr>
        <w:t>ṇ</w:t>
      </w:r>
      <w:r w:rsidRPr="00F91553">
        <w:t>a</w:t>
      </w:r>
      <w:proofErr w:type="spellEnd"/>
      <w:r w:rsidRPr="00F91553">
        <w:t>) and peer</w:t>
      </w:r>
      <w:r w:rsidRPr="00F91553">
        <w:noBreakHyphen/>
        <w:t>review circles mitigate these, while mnemonic arts (mind</w:t>
      </w:r>
      <w:r w:rsidRPr="00F91553">
        <w:noBreakHyphen/>
        <w:t>palace techniques, spaced repetition) exemplify legitimate ‘external’ supports sanctioned by commentarial tradition.</w:t>
      </w:r>
      <w:r w:rsidR="004349C6">
        <w:rPr>
          <w:rStyle w:val="FootnoteReference"/>
        </w:rPr>
        <w:footnoteReference w:id="8"/>
      </w:r>
    </w:p>
    <w:p w14:paraId="71DD2A5A" w14:textId="69644D4A" w:rsidR="00F91553" w:rsidRPr="00F91553" w:rsidRDefault="00F91553" w:rsidP="004349C6">
      <w:r w:rsidRPr="00F91553">
        <w:rPr>
          <w:b/>
          <w:bCs/>
        </w:rPr>
        <w:t>Contemporary Application.</w:t>
      </w:r>
      <w:r w:rsidRPr="00F91553">
        <w:t xml:space="preserve"> Digital infomania imperils epistemic hygiene; thus neo</w:t>
      </w:r>
      <w:r w:rsidRPr="00F91553">
        <w:noBreakHyphen/>
        <w:t>Jain educators advocate ‘screen</w:t>
      </w:r>
      <w:r w:rsidRPr="00F91553">
        <w:noBreakHyphen/>
        <w:t xml:space="preserve">fasts’ mirroring </w:t>
      </w:r>
      <w:proofErr w:type="spellStart"/>
      <w:r w:rsidRPr="00F91553">
        <w:t>anāśana</w:t>
      </w:r>
      <w:proofErr w:type="spellEnd"/>
      <w:r w:rsidRPr="00F91553">
        <w:t>, and open</w:t>
      </w:r>
      <w:r w:rsidRPr="00F91553">
        <w:noBreakHyphen/>
        <w:t>source scripture repositories (e.g., JAIN</w:t>
      </w:r>
      <w:r w:rsidRPr="00F91553">
        <w:noBreakHyphen/>
      </w:r>
      <w:proofErr w:type="spellStart"/>
      <w:r w:rsidRPr="00F91553">
        <w:t>eLibrary</w:t>
      </w:r>
      <w:proofErr w:type="spellEnd"/>
      <w:r w:rsidRPr="00F91553">
        <w:t xml:space="preserve">) that </w:t>
      </w:r>
      <w:proofErr w:type="spellStart"/>
      <w:r w:rsidRPr="00F91553">
        <w:t>democratise</w:t>
      </w:r>
      <w:proofErr w:type="spellEnd"/>
      <w:r w:rsidRPr="00F91553">
        <w:t xml:space="preserve"> </w:t>
      </w:r>
      <w:proofErr w:type="spellStart"/>
      <w:r w:rsidRPr="00F91553">
        <w:t>śruta</w:t>
      </w:r>
      <w:proofErr w:type="spellEnd"/>
      <w:r w:rsidRPr="00F91553">
        <w:t xml:space="preserve"> while embedding metadata on citation ethics</w:t>
      </w:r>
      <w:r w:rsidR="004349C6">
        <w:t>-</w:t>
      </w:r>
      <w:r w:rsidRPr="00F91553">
        <w:t xml:space="preserve">an innovation </w:t>
      </w:r>
      <w:proofErr w:type="spellStart"/>
      <w:r w:rsidRPr="00F91553">
        <w:t>analogised</w:t>
      </w:r>
      <w:proofErr w:type="spellEnd"/>
      <w:r w:rsidRPr="00F91553">
        <w:t xml:space="preserve"> to the care for palm</w:t>
      </w:r>
      <w:r w:rsidRPr="00F91553">
        <w:noBreakHyphen/>
        <w:t xml:space="preserve">leaf manuscripts lauded in </w:t>
      </w:r>
      <w:proofErr w:type="spellStart"/>
      <w:r w:rsidRPr="00F91553">
        <w:t>Nandisūtra</w:t>
      </w:r>
      <w:proofErr w:type="spellEnd"/>
      <w:r w:rsidRPr="00F91553">
        <w:rPr>
          <w:rFonts w:ascii="Arial" w:hAnsi="Arial" w:cs="Arial"/>
        </w:rPr>
        <w:t> </w:t>
      </w:r>
      <w:r w:rsidRPr="00F91553">
        <w:rPr>
          <w:rFonts w:ascii="Aptos" w:hAnsi="Aptos" w:cs="Aptos"/>
        </w:rPr>
        <w:t>–</w:t>
      </w:r>
      <w:r w:rsidRPr="00F91553">
        <w:rPr>
          <w:rFonts w:ascii="Arial" w:hAnsi="Arial" w:cs="Arial"/>
        </w:rPr>
        <w:t> </w:t>
      </w:r>
      <w:proofErr w:type="spellStart"/>
      <w:r w:rsidRPr="00F91553">
        <w:t>gāthā</w:t>
      </w:r>
      <w:proofErr w:type="spellEnd"/>
      <w:r w:rsidRPr="00F91553">
        <w:t> 38.</w:t>
      </w:r>
      <w:r w:rsidR="004349C6">
        <w:rPr>
          <w:rStyle w:val="FootnoteReference"/>
        </w:rPr>
        <w:footnoteReference w:id="9"/>
      </w:r>
    </w:p>
    <w:p w14:paraId="4CAEB382" w14:textId="77777777" w:rsidR="00F91553" w:rsidRPr="00F91553" w:rsidRDefault="00F91553" w:rsidP="004349C6">
      <w:pPr>
        <w:rPr>
          <w:b/>
          <w:bCs/>
        </w:rPr>
      </w:pPr>
      <w:r w:rsidRPr="00F91553">
        <w:rPr>
          <w:b/>
          <w:bCs/>
        </w:rPr>
        <w:t xml:space="preserve">1.3 </w:t>
      </w:r>
      <w:proofErr w:type="spellStart"/>
      <w:r w:rsidRPr="00F91553">
        <w:rPr>
          <w:b/>
          <w:bCs/>
        </w:rPr>
        <w:t>Darśanācāra</w:t>
      </w:r>
      <w:proofErr w:type="spellEnd"/>
      <w:r w:rsidRPr="00F91553">
        <w:rPr>
          <w:b/>
          <w:bCs/>
        </w:rPr>
        <w:t> – Discipline of Perception/Faith</w:t>
      </w:r>
    </w:p>
    <w:p w14:paraId="652962F5" w14:textId="6B0D8779" w:rsidR="00F91553" w:rsidRPr="00F91553" w:rsidRDefault="00F91553" w:rsidP="004349C6">
      <w:r w:rsidRPr="00F91553">
        <w:t xml:space="preserve">Conceptual Matrix. Whereas </w:t>
      </w:r>
      <w:proofErr w:type="spellStart"/>
      <w:r w:rsidRPr="00F91553">
        <w:t>Jñānācāra</w:t>
      </w:r>
      <w:proofErr w:type="spellEnd"/>
      <w:r w:rsidRPr="00F91553">
        <w:t xml:space="preserve"> addresses what and how we know, </w:t>
      </w:r>
      <w:proofErr w:type="spellStart"/>
      <w:r w:rsidRPr="00F91553">
        <w:t>Darśanācāra</w:t>
      </w:r>
      <w:proofErr w:type="spellEnd"/>
      <w:r w:rsidRPr="00F91553">
        <w:t xml:space="preserve"> speaks to how we behold and emotionally invest in that knowledge. The term </w:t>
      </w:r>
      <w:proofErr w:type="spellStart"/>
      <w:r w:rsidRPr="00F91553">
        <w:t>darśana</w:t>
      </w:r>
      <w:proofErr w:type="spellEnd"/>
      <w:r w:rsidRPr="00F91553">
        <w:t xml:space="preserve"> </w:t>
      </w:r>
      <w:r w:rsidRPr="00F91553">
        <w:lastRenderedPageBreak/>
        <w:t>spans perception, worldview, conviction, and existential contact.</w:t>
      </w:r>
      <w:r w:rsidR="004349C6">
        <w:rPr>
          <w:rStyle w:val="FootnoteReference"/>
        </w:rPr>
        <w:footnoteReference w:id="10"/>
      </w:r>
      <w:r w:rsidRPr="00F91553">
        <w:t xml:space="preserve"> Eight sub</w:t>
      </w:r>
      <w:r w:rsidRPr="00F91553">
        <w:noBreakHyphen/>
        <w:t>codes (</w:t>
      </w:r>
      <w:proofErr w:type="spellStart"/>
      <w:r w:rsidRPr="00F91553">
        <w:t>Aṣ</w:t>
      </w:r>
      <w:r w:rsidRPr="00F91553">
        <w:rPr>
          <w:rFonts w:ascii="Calibri" w:hAnsi="Calibri" w:cs="Calibri"/>
        </w:rPr>
        <w:t>ṭ</w:t>
      </w:r>
      <w:r w:rsidRPr="00F91553">
        <w:t>avidha</w:t>
      </w:r>
      <w:proofErr w:type="spellEnd"/>
      <w:r w:rsidRPr="00F91553">
        <w:t> </w:t>
      </w:r>
      <w:proofErr w:type="spellStart"/>
      <w:r w:rsidRPr="00F91553">
        <w:t>Darśana</w:t>
      </w:r>
      <w:r w:rsidRPr="00F91553">
        <w:noBreakHyphen/>
        <w:t>vrata</w:t>
      </w:r>
      <w:proofErr w:type="spellEnd"/>
      <w:r w:rsidRPr="00F91553">
        <w:t xml:space="preserve">) feature in </w:t>
      </w:r>
      <w:proofErr w:type="spellStart"/>
      <w:r w:rsidRPr="00F91553">
        <w:t>Pañcācārasūtra</w:t>
      </w:r>
      <w:proofErr w:type="spellEnd"/>
      <w:r w:rsidRPr="00F91553">
        <w:t xml:space="preserve"> v.</w:t>
      </w:r>
      <w:r w:rsidRPr="00F91553">
        <w:rPr>
          <w:rFonts w:ascii="Arial" w:hAnsi="Arial" w:cs="Arial"/>
        </w:rPr>
        <w:t> </w:t>
      </w:r>
      <w:r w:rsidRPr="00F91553">
        <w:t>2:</w:t>
      </w:r>
    </w:p>
    <w:p w14:paraId="7FC63DF2" w14:textId="71BBD401" w:rsidR="00F91553" w:rsidRPr="00F91553" w:rsidRDefault="00600C27" w:rsidP="004349C6">
      <w:r>
        <w:t>1.</w:t>
      </w:r>
      <w:r w:rsidR="00F91553" w:rsidRPr="00F91553">
        <w:t>Freedom from doubt (</w:t>
      </w:r>
      <w:proofErr w:type="spellStart"/>
      <w:r w:rsidR="00F91553" w:rsidRPr="00F91553">
        <w:t>ni</w:t>
      </w:r>
      <w:r w:rsidR="00F91553" w:rsidRPr="00F91553">
        <w:rPr>
          <w:rFonts w:ascii="Calibri" w:hAnsi="Calibri" w:cs="Calibri"/>
        </w:rPr>
        <w:t>ḥ</w:t>
      </w:r>
      <w:r w:rsidR="00F91553" w:rsidRPr="00F91553">
        <w:t>śa</w:t>
      </w:r>
      <w:r w:rsidR="00F91553" w:rsidRPr="00F91553">
        <w:rPr>
          <w:rFonts w:ascii="Calibri" w:hAnsi="Calibri" w:cs="Calibri"/>
        </w:rPr>
        <w:t>ṅ</w:t>
      </w:r>
      <w:r w:rsidR="00F91553" w:rsidRPr="00F91553">
        <w:t>kitva</w:t>
      </w:r>
      <w:proofErr w:type="spellEnd"/>
      <w:r w:rsidR="00F91553" w:rsidRPr="00F91553">
        <w:t>)</w:t>
      </w:r>
    </w:p>
    <w:p w14:paraId="73437129" w14:textId="03B94ED0" w:rsidR="00F91553" w:rsidRPr="00F91553" w:rsidRDefault="00600C27" w:rsidP="004349C6">
      <w:r>
        <w:t>2.</w:t>
      </w:r>
      <w:r w:rsidR="00F91553" w:rsidRPr="00F91553">
        <w:t>Absence of ulterior motives (</w:t>
      </w:r>
      <w:proofErr w:type="spellStart"/>
      <w:r w:rsidR="00F91553" w:rsidRPr="00F91553">
        <w:t>ni</w:t>
      </w:r>
      <w:r w:rsidR="00F91553" w:rsidRPr="00F91553">
        <w:rPr>
          <w:rFonts w:ascii="Calibri" w:hAnsi="Calibri" w:cs="Calibri"/>
        </w:rPr>
        <w:t>ḥ</w:t>
      </w:r>
      <w:r w:rsidR="00F91553" w:rsidRPr="00F91553">
        <w:t>kā</w:t>
      </w:r>
      <w:r w:rsidR="00F91553" w:rsidRPr="00F91553">
        <w:rPr>
          <w:rFonts w:ascii="Calibri" w:hAnsi="Calibri" w:cs="Calibri"/>
        </w:rPr>
        <w:t>ṅ</w:t>
      </w:r>
      <w:r w:rsidR="00F91553" w:rsidRPr="00F91553">
        <w:t>kṣitva</w:t>
      </w:r>
      <w:proofErr w:type="spellEnd"/>
      <w:r w:rsidR="00F91553" w:rsidRPr="00F91553">
        <w:t>)</w:t>
      </w:r>
    </w:p>
    <w:p w14:paraId="7D5922A8" w14:textId="69E4B589" w:rsidR="00F91553" w:rsidRPr="00F91553" w:rsidRDefault="00600C27" w:rsidP="004349C6">
      <w:r>
        <w:t>3.</w:t>
      </w:r>
      <w:r w:rsidR="00F91553" w:rsidRPr="00F91553">
        <w:t>Unwavering conviction (</w:t>
      </w:r>
      <w:proofErr w:type="spellStart"/>
      <w:r w:rsidR="00F91553" w:rsidRPr="00F91553">
        <w:t>nirvicikitsā</w:t>
      </w:r>
      <w:proofErr w:type="spellEnd"/>
      <w:r w:rsidR="00F91553" w:rsidRPr="00F91553">
        <w:t>)</w:t>
      </w:r>
    </w:p>
    <w:p w14:paraId="5F939578" w14:textId="77C01F98" w:rsidR="00F91553" w:rsidRPr="00F91553" w:rsidRDefault="00600C27" w:rsidP="004349C6">
      <w:r>
        <w:t>4.</w:t>
      </w:r>
      <w:r w:rsidR="00F91553" w:rsidRPr="00F91553">
        <w:t>Immunity to sectarian glamour (</w:t>
      </w:r>
      <w:proofErr w:type="spellStart"/>
      <w:r w:rsidR="00F91553" w:rsidRPr="00F91553">
        <w:t>amū</w:t>
      </w:r>
      <w:r w:rsidR="00F91553" w:rsidRPr="00F91553">
        <w:rPr>
          <w:rFonts w:ascii="Calibri" w:hAnsi="Calibri" w:cs="Calibri"/>
        </w:rPr>
        <w:t>ḍ</w:t>
      </w:r>
      <w:r w:rsidR="00F91553" w:rsidRPr="00F91553">
        <w:t>ha</w:t>
      </w:r>
      <w:r w:rsidR="00F91553" w:rsidRPr="00F91553">
        <w:noBreakHyphen/>
        <w:t>d</w:t>
      </w:r>
      <w:r w:rsidR="00F91553" w:rsidRPr="00F91553">
        <w:rPr>
          <w:rFonts w:ascii="Calibri" w:hAnsi="Calibri" w:cs="Calibri"/>
        </w:rPr>
        <w:t>ṛ</w:t>
      </w:r>
      <w:r w:rsidR="00F91553" w:rsidRPr="00F91553">
        <w:rPr>
          <w:rFonts w:ascii="Aptos" w:hAnsi="Aptos" w:cs="Aptos"/>
        </w:rPr>
        <w:t>ṣ</w:t>
      </w:r>
      <w:r w:rsidR="00F91553" w:rsidRPr="00F91553">
        <w:rPr>
          <w:rFonts w:ascii="Calibri" w:hAnsi="Calibri" w:cs="Calibri"/>
        </w:rPr>
        <w:t>ṭ</w:t>
      </w:r>
      <w:r w:rsidR="00F91553" w:rsidRPr="00F91553">
        <w:t>i</w:t>
      </w:r>
      <w:proofErr w:type="spellEnd"/>
      <w:r w:rsidR="00F91553" w:rsidRPr="00F91553">
        <w:t>)</w:t>
      </w:r>
    </w:p>
    <w:p w14:paraId="3BDA01F9" w14:textId="43592EE1" w:rsidR="00F91553" w:rsidRPr="00F91553" w:rsidRDefault="00600C27" w:rsidP="004349C6">
      <w:r>
        <w:t>5.</w:t>
      </w:r>
      <w:r w:rsidR="00F91553" w:rsidRPr="00F91553">
        <w:t>Encouraging virtue in others (</w:t>
      </w:r>
      <w:proofErr w:type="spellStart"/>
      <w:r w:rsidR="00F91553" w:rsidRPr="00F91553">
        <w:t>upabrūha</w:t>
      </w:r>
      <w:r w:rsidR="00F91553" w:rsidRPr="00F91553">
        <w:rPr>
          <w:rFonts w:ascii="Calibri" w:hAnsi="Calibri" w:cs="Calibri"/>
        </w:rPr>
        <w:t>ṇ</w:t>
      </w:r>
      <w:r w:rsidR="00F91553" w:rsidRPr="00F91553">
        <w:t>a</w:t>
      </w:r>
      <w:proofErr w:type="spellEnd"/>
      <w:r w:rsidR="00F91553" w:rsidRPr="00F91553">
        <w:t>)</w:t>
      </w:r>
    </w:p>
    <w:p w14:paraId="358A7E15" w14:textId="6EDC66F1" w:rsidR="00F91553" w:rsidRPr="00F91553" w:rsidRDefault="00600C27" w:rsidP="004349C6">
      <w:r>
        <w:t>6.</w:t>
      </w:r>
      <w:r w:rsidR="00F91553" w:rsidRPr="00F91553">
        <w:t xml:space="preserve">Stabilising communal faith </w:t>
      </w:r>
      <w:r w:rsidR="00F91553" w:rsidRPr="00F91553">
        <w:rPr>
          <w:i/>
          <w:iCs/>
        </w:rPr>
        <w:t>(</w:t>
      </w:r>
      <w:proofErr w:type="spellStart"/>
      <w:r w:rsidR="00F91553" w:rsidRPr="00F91553">
        <w:t>sthāpanā</w:t>
      </w:r>
      <w:proofErr w:type="spellEnd"/>
      <w:r w:rsidR="00F91553" w:rsidRPr="00F91553">
        <w:t>)</w:t>
      </w:r>
    </w:p>
    <w:p w14:paraId="1D13B031" w14:textId="232AB6F8" w:rsidR="00F91553" w:rsidRPr="00F91553" w:rsidRDefault="00600C27" w:rsidP="004349C6">
      <w:r>
        <w:t>7.</w:t>
      </w:r>
      <w:r w:rsidR="00F91553" w:rsidRPr="00F91553">
        <w:t>Fellow</w:t>
      </w:r>
      <w:r w:rsidR="00F91553" w:rsidRPr="00F91553">
        <w:noBreakHyphen/>
        <w:t>feeling (</w:t>
      </w:r>
      <w:proofErr w:type="spellStart"/>
      <w:r w:rsidR="00F91553" w:rsidRPr="00F91553">
        <w:t>vātsalya</w:t>
      </w:r>
      <w:proofErr w:type="spellEnd"/>
      <w:r w:rsidR="00F91553" w:rsidRPr="00F91553">
        <w:t>)</w:t>
      </w:r>
    </w:p>
    <w:p w14:paraId="175B02FF" w14:textId="52D7F77E" w:rsidR="00F91553" w:rsidRPr="00F91553" w:rsidRDefault="00600C27" w:rsidP="004349C6">
      <w:r>
        <w:t>8.</w:t>
      </w:r>
      <w:r w:rsidR="00F91553" w:rsidRPr="00F91553">
        <w:t>Societal outreach (</w:t>
      </w:r>
      <w:proofErr w:type="spellStart"/>
      <w:r w:rsidR="00F91553" w:rsidRPr="00F91553">
        <w:t>prabhāva</w:t>
      </w:r>
      <w:r w:rsidR="00F91553" w:rsidRPr="00F91553">
        <w:rPr>
          <w:rFonts w:ascii="Calibri" w:hAnsi="Calibri" w:cs="Calibri"/>
        </w:rPr>
        <w:t>ṇ</w:t>
      </w:r>
      <w:r w:rsidR="00F91553" w:rsidRPr="00F91553">
        <w:t>ā</w:t>
      </w:r>
      <w:proofErr w:type="spellEnd"/>
      <w:r w:rsidR="00F91553" w:rsidRPr="00F91553">
        <w:t>).</w:t>
      </w:r>
    </w:p>
    <w:p w14:paraId="198EB726" w14:textId="28EB2170" w:rsidR="00F91553" w:rsidRPr="00F91553" w:rsidRDefault="00F91553" w:rsidP="004349C6">
      <w:r w:rsidRPr="00F91553">
        <w:rPr>
          <w:b/>
          <w:bCs/>
        </w:rPr>
        <w:t>Hermeneutic Progression</w:t>
      </w:r>
      <w:r w:rsidRPr="00F91553">
        <w:t>. Classical pedagogy outlines five sequential practices</w:t>
      </w:r>
      <w:r w:rsidR="00897FA9">
        <w:t>-</w:t>
      </w:r>
      <w:proofErr w:type="spellStart"/>
      <w:r w:rsidRPr="00F91553">
        <w:t>vācana</w:t>
      </w:r>
      <w:proofErr w:type="spellEnd"/>
      <w:r w:rsidRPr="00F91553">
        <w:t xml:space="preserve"> (listening), </w:t>
      </w:r>
      <w:proofErr w:type="spellStart"/>
      <w:r w:rsidRPr="00F91553">
        <w:t>p</w:t>
      </w:r>
      <w:r w:rsidRPr="00F91553">
        <w:rPr>
          <w:rFonts w:ascii="Calibri" w:hAnsi="Calibri" w:cs="Calibri"/>
        </w:rPr>
        <w:t>ṛ</w:t>
      </w:r>
      <w:r w:rsidRPr="00F91553">
        <w:t>cchanā</w:t>
      </w:r>
      <w:proofErr w:type="spellEnd"/>
      <w:r w:rsidRPr="00F91553">
        <w:t xml:space="preserve"> (inquiring), </w:t>
      </w:r>
      <w:proofErr w:type="spellStart"/>
      <w:r w:rsidRPr="00F91553">
        <w:t>parāvartana</w:t>
      </w:r>
      <w:proofErr w:type="spellEnd"/>
      <w:r w:rsidRPr="00F91553">
        <w:t xml:space="preserve"> (repetition), </w:t>
      </w:r>
      <w:proofErr w:type="spellStart"/>
      <w:r w:rsidRPr="00F91553">
        <w:t>anuprekṣā</w:t>
      </w:r>
      <w:proofErr w:type="spellEnd"/>
      <w:r w:rsidRPr="00F91553">
        <w:t xml:space="preserve"> (reflection), </w:t>
      </w:r>
      <w:proofErr w:type="spellStart"/>
      <w:r w:rsidRPr="00F91553">
        <w:t>dharmakathā</w:t>
      </w:r>
      <w:proofErr w:type="spellEnd"/>
      <w:r w:rsidRPr="00F91553">
        <w:t xml:space="preserve"> (articulation)—culminating in firm conviction.</w:t>
      </w:r>
      <w:r w:rsidR="00897FA9">
        <w:rPr>
          <w:rStyle w:val="FootnoteReference"/>
        </w:rPr>
        <w:footnoteReference w:id="11"/>
      </w:r>
      <w:r w:rsidRPr="00F91553">
        <w:t xml:space="preserve"> Neuro</w:t>
      </w:r>
      <w:r w:rsidRPr="00F91553">
        <w:noBreakHyphen/>
        <w:t>affective studies align this with the consolidation of long</w:t>
      </w:r>
      <w:r w:rsidRPr="00F91553">
        <w:noBreakHyphen/>
        <w:t>term potentiation pathways, suggesting empirical support for millennia</w:t>
      </w:r>
      <w:r w:rsidRPr="00F91553">
        <w:noBreakHyphen/>
        <w:t>old didactics.</w:t>
      </w:r>
    </w:p>
    <w:p w14:paraId="1314DD5C" w14:textId="6D56AC7F" w:rsidR="00F91553" w:rsidRPr="00F91553" w:rsidRDefault="00F91553" w:rsidP="004349C6">
      <w:r w:rsidRPr="00F91553">
        <w:t>Inter</w:t>
      </w:r>
      <w:r w:rsidRPr="00F91553">
        <w:noBreakHyphen/>
        <w:t>religious Interface. Jain commentators warn against fascination with ‘glamorous processions’ of rival sects (</w:t>
      </w:r>
      <w:proofErr w:type="spellStart"/>
      <w:r w:rsidRPr="00F91553">
        <w:rPr>
          <w:i/>
          <w:iCs/>
        </w:rPr>
        <w:t>amū</w:t>
      </w:r>
      <w:r w:rsidRPr="00F91553">
        <w:rPr>
          <w:rFonts w:ascii="Calibri" w:hAnsi="Calibri" w:cs="Calibri"/>
          <w:i/>
          <w:iCs/>
        </w:rPr>
        <w:t>ḍ</w:t>
      </w:r>
      <w:r w:rsidRPr="00F91553">
        <w:rPr>
          <w:i/>
          <w:iCs/>
        </w:rPr>
        <w:t>ha</w:t>
      </w:r>
      <w:r w:rsidRPr="00F91553">
        <w:rPr>
          <w:i/>
          <w:iCs/>
        </w:rPr>
        <w:noBreakHyphen/>
        <w:t>d</w:t>
      </w:r>
      <w:r w:rsidRPr="00F91553">
        <w:rPr>
          <w:rFonts w:ascii="Calibri" w:hAnsi="Calibri" w:cs="Calibri"/>
          <w:i/>
          <w:iCs/>
        </w:rPr>
        <w:t>ṛ</w:t>
      </w:r>
      <w:r w:rsidRPr="00F91553">
        <w:rPr>
          <w:rFonts w:ascii="Aptos" w:hAnsi="Aptos" w:cs="Aptos"/>
          <w:i/>
          <w:iCs/>
        </w:rPr>
        <w:t>ṣ</w:t>
      </w:r>
      <w:r w:rsidRPr="00F91553">
        <w:rPr>
          <w:rFonts w:ascii="Calibri" w:hAnsi="Calibri" w:cs="Calibri"/>
          <w:i/>
          <w:iCs/>
        </w:rPr>
        <w:t>ṭ</w:t>
      </w:r>
      <w:r w:rsidRPr="00F91553">
        <w:rPr>
          <w:i/>
          <w:iCs/>
        </w:rPr>
        <w:t>i</w:t>
      </w:r>
      <w:proofErr w:type="spellEnd"/>
      <w:r w:rsidRPr="00F91553">
        <w:t>). Contemporary pluralism reframes this as critical engagement devoid of mimetic desire</w:t>
      </w:r>
      <w:r w:rsidR="00897FA9">
        <w:t>-</w:t>
      </w:r>
      <w:r w:rsidRPr="00F91553">
        <w:t>an ethic resonant with dialogical theology and comparative philosophy.</w:t>
      </w:r>
      <w:r w:rsidR="00897FA9">
        <w:rPr>
          <w:rStyle w:val="FootnoteReference"/>
        </w:rPr>
        <w:footnoteReference w:id="12"/>
      </w:r>
    </w:p>
    <w:p w14:paraId="227CE0E0" w14:textId="31248085" w:rsidR="00F91553" w:rsidRPr="00F91553" w:rsidRDefault="00F91553" w:rsidP="004349C6">
      <w:r w:rsidRPr="00F91553">
        <w:t xml:space="preserve">Community Praxis. Modern </w:t>
      </w:r>
      <w:proofErr w:type="spellStart"/>
      <w:r w:rsidRPr="00F91553">
        <w:rPr>
          <w:i/>
          <w:iCs/>
        </w:rPr>
        <w:t>vātsalya</w:t>
      </w:r>
      <w:proofErr w:type="spellEnd"/>
      <w:r w:rsidRPr="00F91553">
        <w:t xml:space="preserve"> manifests in blood</w:t>
      </w:r>
      <w:r w:rsidRPr="00F91553">
        <w:noBreakHyphen/>
        <w:t xml:space="preserve">donation drives and vegan outreach, while </w:t>
      </w:r>
      <w:proofErr w:type="spellStart"/>
      <w:r w:rsidRPr="00F91553">
        <w:t>prabhāva</w:t>
      </w:r>
      <w:r w:rsidRPr="00F91553">
        <w:rPr>
          <w:rFonts w:ascii="Calibri" w:hAnsi="Calibri" w:cs="Calibri"/>
        </w:rPr>
        <w:t>ṇ</w:t>
      </w:r>
      <w:r w:rsidRPr="00F91553">
        <w:t>ā</w:t>
      </w:r>
      <w:proofErr w:type="spellEnd"/>
      <w:r w:rsidRPr="00F91553">
        <w:t xml:space="preserve"> </w:t>
      </w:r>
      <w:proofErr w:type="spellStart"/>
      <w:r w:rsidRPr="00F91553">
        <w:t>utilises</w:t>
      </w:r>
      <w:proofErr w:type="spellEnd"/>
      <w:r w:rsidRPr="00F91553">
        <w:t xml:space="preserve"> social media campaigns (#LiveandLetLive) to project an eco</w:t>
      </w:r>
      <w:r w:rsidRPr="00F91553">
        <w:noBreakHyphen/>
      </w:r>
      <w:proofErr w:type="spellStart"/>
      <w:r w:rsidRPr="00F91553">
        <w:t>Ahimsā</w:t>
      </w:r>
      <w:proofErr w:type="spellEnd"/>
      <w:r w:rsidRPr="00F91553">
        <w:t xml:space="preserve"> ethos</w:t>
      </w:r>
    </w:p>
    <w:p w14:paraId="3F85A519" w14:textId="77777777" w:rsidR="00F91553" w:rsidRPr="00F91553" w:rsidRDefault="00F91553" w:rsidP="004349C6">
      <w:pPr>
        <w:rPr>
          <w:b/>
          <w:bCs/>
        </w:rPr>
      </w:pPr>
      <w:r w:rsidRPr="00F91553">
        <w:rPr>
          <w:b/>
          <w:bCs/>
        </w:rPr>
        <w:t xml:space="preserve">1.4 </w:t>
      </w:r>
      <w:proofErr w:type="spellStart"/>
      <w:r w:rsidRPr="00F91553">
        <w:rPr>
          <w:b/>
          <w:bCs/>
        </w:rPr>
        <w:t>Cāritrācāra</w:t>
      </w:r>
      <w:proofErr w:type="spellEnd"/>
      <w:r w:rsidRPr="00F91553">
        <w:rPr>
          <w:b/>
          <w:bCs/>
        </w:rPr>
        <w:t> – Discipline of Conduct</w:t>
      </w:r>
    </w:p>
    <w:p w14:paraId="051B9218" w14:textId="51AE9031" w:rsidR="00F91553" w:rsidRPr="00F91553" w:rsidRDefault="00F91553" w:rsidP="004349C6">
      <w:r w:rsidRPr="00F91553">
        <w:lastRenderedPageBreak/>
        <w:t>Macro</w:t>
      </w:r>
      <w:r w:rsidRPr="00F91553">
        <w:noBreakHyphen/>
        <w:t xml:space="preserve">Structure. </w:t>
      </w:r>
      <w:proofErr w:type="spellStart"/>
      <w:r w:rsidRPr="00F91553">
        <w:t>Cāritrācāra</w:t>
      </w:r>
      <w:proofErr w:type="spellEnd"/>
      <w:r w:rsidRPr="00F91553">
        <w:t xml:space="preserve"> embodies praxis proper: five </w:t>
      </w:r>
      <w:proofErr w:type="spellStart"/>
      <w:r w:rsidRPr="00F91553">
        <w:t>mahā</w:t>
      </w:r>
      <w:r w:rsidRPr="00F91553">
        <w:noBreakHyphen/>
        <w:t>vrata</w:t>
      </w:r>
      <w:proofErr w:type="spellEnd"/>
      <w:r w:rsidRPr="00F91553">
        <w:t xml:space="preserve"> for renunciants, twelve </w:t>
      </w:r>
      <w:proofErr w:type="spellStart"/>
      <w:r w:rsidRPr="00F91553">
        <w:t>vrata</w:t>
      </w:r>
      <w:proofErr w:type="spellEnd"/>
      <w:r w:rsidRPr="00F91553">
        <w:t xml:space="preserve"> for householders, and the eight</w:t>
      </w:r>
      <w:r w:rsidRPr="00F91553">
        <w:noBreakHyphen/>
        <w:t>fold ‘mother of doctrine’ (</w:t>
      </w:r>
      <w:proofErr w:type="spellStart"/>
      <w:r w:rsidRPr="00F91553">
        <w:t>aṣ</w:t>
      </w:r>
      <w:r w:rsidRPr="00F91553">
        <w:rPr>
          <w:rFonts w:ascii="Calibri" w:hAnsi="Calibri" w:cs="Calibri"/>
        </w:rPr>
        <w:t>ṭ</w:t>
      </w:r>
      <w:r w:rsidRPr="00F91553">
        <w:t>a</w:t>
      </w:r>
      <w:r w:rsidRPr="00F91553">
        <w:noBreakHyphen/>
        <w:t>pravacana</w:t>
      </w:r>
      <w:r w:rsidRPr="00F91553">
        <w:noBreakHyphen/>
        <w:t>māt</w:t>
      </w:r>
      <w:r w:rsidRPr="00F91553">
        <w:rPr>
          <w:rFonts w:ascii="Calibri" w:hAnsi="Calibri" w:cs="Calibri"/>
        </w:rPr>
        <w:t>ṛ</w:t>
      </w:r>
      <w:r w:rsidRPr="00F91553">
        <w:t>kā</w:t>
      </w:r>
      <w:proofErr w:type="spellEnd"/>
      <w:r w:rsidRPr="00F91553">
        <w:t xml:space="preserve">) comprising five samiti (carefulness) and three </w:t>
      </w:r>
      <w:proofErr w:type="spellStart"/>
      <w:r w:rsidRPr="00F91553">
        <w:t>gupti</w:t>
      </w:r>
      <w:proofErr w:type="spellEnd"/>
      <w:r w:rsidRPr="00F91553">
        <w:t xml:space="preserve"> (restraint).</w:t>
      </w:r>
      <w:r w:rsidR="00897FA9">
        <w:rPr>
          <w:rStyle w:val="FootnoteReference"/>
        </w:rPr>
        <w:footnoteReference w:id="13"/>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98"/>
        <w:gridCol w:w="3867"/>
      </w:tblGrid>
      <w:tr w:rsidR="00F91553" w:rsidRPr="00F91553" w14:paraId="18797350" w14:textId="77777777" w:rsidTr="00897FA9">
        <w:trPr>
          <w:trHeight w:val="738"/>
          <w:tblCellSpacing w:w="15" w:type="dxa"/>
        </w:trPr>
        <w:tc>
          <w:tcPr>
            <w:tcW w:w="0" w:type="auto"/>
            <w:vAlign w:val="center"/>
            <w:hideMark/>
          </w:tcPr>
          <w:p w14:paraId="0DC04650" w14:textId="77777777" w:rsidR="00F91553" w:rsidRPr="00F91553" w:rsidRDefault="00F91553" w:rsidP="004349C6">
            <w:r w:rsidRPr="00F91553">
              <w:t>Carefulness (Samiti)</w:t>
            </w:r>
          </w:p>
        </w:tc>
        <w:tc>
          <w:tcPr>
            <w:tcW w:w="0" w:type="auto"/>
            <w:vAlign w:val="center"/>
            <w:hideMark/>
          </w:tcPr>
          <w:p w14:paraId="24562941" w14:textId="77777777" w:rsidR="00F91553" w:rsidRPr="00F91553" w:rsidRDefault="00F91553" w:rsidP="004349C6">
            <w:r w:rsidRPr="00F91553">
              <w:t>Function</w:t>
            </w:r>
          </w:p>
        </w:tc>
      </w:tr>
      <w:tr w:rsidR="00F91553" w:rsidRPr="00F91553" w14:paraId="2B051121" w14:textId="77777777" w:rsidTr="00897FA9">
        <w:trPr>
          <w:tblCellSpacing w:w="15" w:type="dxa"/>
        </w:trPr>
        <w:tc>
          <w:tcPr>
            <w:tcW w:w="0" w:type="auto"/>
            <w:vAlign w:val="center"/>
            <w:hideMark/>
          </w:tcPr>
          <w:p w14:paraId="06498F98" w14:textId="77777777" w:rsidR="00F91553" w:rsidRPr="00F91553" w:rsidRDefault="00F91553" w:rsidP="004349C6">
            <w:proofErr w:type="spellStart"/>
            <w:r w:rsidRPr="00F91553">
              <w:t>Iryā</w:t>
            </w:r>
            <w:proofErr w:type="spellEnd"/>
            <w:r w:rsidRPr="00F91553">
              <w:noBreakHyphen/>
              <w:t>samiti</w:t>
            </w:r>
          </w:p>
        </w:tc>
        <w:tc>
          <w:tcPr>
            <w:tcW w:w="0" w:type="auto"/>
            <w:vAlign w:val="center"/>
            <w:hideMark/>
          </w:tcPr>
          <w:p w14:paraId="4F16714A" w14:textId="77777777" w:rsidR="00F91553" w:rsidRPr="00F91553" w:rsidRDefault="00F91553" w:rsidP="004349C6">
            <w:r w:rsidRPr="00F91553">
              <w:t>Vigilance in locomotion</w:t>
            </w:r>
          </w:p>
        </w:tc>
      </w:tr>
      <w:tr w:rsidR="00F91553" w:rsidRPr="00F91553" w14:paraId="352EDCBB" w14:textId="77777777" w:rsidTr="00897FA9">
        <w:trPr>
          <w:tblCellSpacing w:w="15" w:type="dxa"/>
        </w:trPr>
        <w:tc>
          <w:tcPr>
            <w:tcW w:w="0" w:type="auto"/>
            <w:vAlign w:val="center"/>
            <w:hideMark/>
          </w:tcPr>
          <w:p w14:paraId="7C6EF261" w14:textId="77777777" w:rsidR="00F91553" w:rsidRPr="00F91553" w:rsidRDefault="00F91553" w:rsidP="004349C6">
            <w:proofErr w:type="spellStart"/>
            <w:r w:rsidRPr="00F91553">
              <w:t>Bhāṣā</w:t>
            </w:r>
            <w:proofErr w:type="spellEnd"/>
            <w:r w:rsidRPr="00F91553">
              <w:noBreakHyphen/>
              <w:t>samiti</w:t>
            </w:r>
          </w:p>
        </w:tc>
        <w:tc>
          <w:tcPr>
            <w:tcW w:w="0" w:type="auto"/>
            <w:vAlign w:val="center"/>
            <w:hideMark/>
          </w:tcPr>
          <w:p w14:paraId="475579CF" w14:textId="77777777" w:rsidR="00F91553" w:rsidRPr="00F91553" w:rsidRDefault="00F91553" w:rsidP="004349C6">
            <w:r w:rsidRPr="00F91553">
              <w:t>Truthful, measured speech</w:t>
            </w:r>
          </w:p>
        </w:tc>
      </w:tr>
      <w:tr w:rsidR="00F91553" w:rsidRPr="00F91553" w14:paraId="30918751" w14:textId="77777777" w:rsidTr="00897FA9">
        <w:trPr>
          <w:tblCellSpacing w:w="15" w:type="dxa"/>
        </w:trPr>
        <w:tc>
          <w:tcPr>
            <w:tcW w:w="0" w:type="auto"/>
            <w:vAlign w:val="center"/>
            <w:hideMark/>
          </w:tcPr>
          <w:p w14:paraId="61D6C64D" w14:textId="77777777" w:rsidR="00F91553" w:rsidRPr="00F91553" w:rsidRDefault="00F91553" w:rsidP="004349C6">
            <w:proofErr w:type="spellStart"/>
            <w:r w:rsidRPr="00F91553">
              <w:t>Eṣanā</w:t>
            </w:r>
            <w:proofErr w:type="spellEnd"/>
            <w:r w:rsidRPr="00F91553">
              <w:noBreakHyphen/>
              <w:t>samiti</w:t>
            </w:r>
          </w:p>
        </w:tc>
        <w:tc>
          <w:tcPr>
            <w:tcW w:w="0" w:type="auto"/>
            <w:vAlign w:val="center"/>
            <w:hideMark/>
          </w:tcPr>
          <w:p w14:paraId="0782660C" w14:textId="77777777" w:rsidR="00F91553" w:rsidRPr="00F91553" w:rsidRDefault="00F91553" w:rsidP="004349C6">
            <w:r w:rsidRPr="00F91553">
              <w:t>Ethical procurement of alms</w:t>
            </w:r>
          </w:p>
        </w:tc>
      </w:tr>
      <w:tr w:rsidR="00F91553" w:rsidRPr="00F91553" w14:paraId="5046EF23" w14:textId="77777777" w:rsidTr="00897FA9">
        <w:trPr>
          <w:tblCellSpacing w:w="15" w:type="dxa"/>
        </w:trPr>
        <w:tc>
          <w:tcPr>
            <w:tcW w:w="0" w:type="auto"/>
            <w:vAlign w:val="center"/>
            <w:hideMark/>
          </w:tcPr>
          <w:p w14:paraId="5A0107AA" w14:textId="77777777" w:rsidR="00F91553" w:rsidRPr="00F91553" w:rsidRDefault="00F91553" w:rsidP="004349C6">
            <w:proofErr w:type="spellStart"/>
            <w:r w:rsidRPr="00F91553">
              <w:t>Ādāna</w:t>
            </w:r>
            <w:r w:rsidRPr="00F91553">
              <w:noBreakHyphen/>
              <w:t>nikṣepa</w:t>
            </w:r>
            <w:proofErr w:type="spellEnd"/>
          </w:p>
        </w:tc>
        <w:tc>
          <w:tcPr>
            <w:tcW w:w="0" w:type="auto"/>
            <w:vAlign w:val="center"/>
            <w:hideMark/>
          </w:tcPr>
          <w:p w14:paraId="748FEB68" w14:textId="77777777" w:rsidR="00F91553" w:rsidRPr="00F91553" w:rsidRDefault="00F91553" w:rsidP="004349C6">
            <w:r w:rsidRPr="00F91553">
              <w:t>Mindful handling of objects</w:t>
            </w:r>
          </w:p>
        </w:tc>
      </w:tr>
      <w:tr w:rsidR="00F91553" w:rsidRPr="00F91553" w14:paraId="7FAEDE98" w14:textId="77777777" w:rsidTr="00897FA9">
        <w:trPr>
          <w:tblCellSpacing w:w="15" w:type="dxa"/>
        </w:trPr>
        <w:tc>
          <w:tcPr>
            <w:tcW w:w="0" w:type="auto"/>
            <w:vAlign w:val="center"/>
            <w:hideMark/>
          </w:tcPr>
          <w:p w14:paraId="4C510361" w14:textId="77777777" w:rsidR="00F91553" w:rsidRPr="00F91553" w:rsidRDefault="00F91553" w:rsidP="004349C6">
            <w:proofErr w:type="spellStart"/>
            <w:r w:rsidRPr="00F91553">
              <w:t>Utsarga</w:t>
            </w:r>
            <w:proofErr w:type="spellEnd"/>
            <w:r w:rsidRPr="00F91553">
              <w:noBreakHyphen/>
              <w:t>samiti</w:t>
            </w:r>
          </w:p>
        </w:tc>
        <w:tc>
          <w:tcPr>
            <w:tcW w:w="0" w:type="auto"/>
            <w:vAlign w:val="center"/>
            <w:hideMark/>
          </w:tcPr>
          <w:p w14:paraId="5AFB8F21" w14:textId="77777777" w:rsidR="00F91553" w:rsidRPr="00F91553" w:rsidRDefault="00F91553" w:rsidP="004349C6">
            <w:r w:rsidRPr="00F91553">
              <w:t>Hygienic, non</w:t>
            </w:r>
            <w:r w:rsidRPr="00F91553">
              <w:noBreakHyphen/>
              <w:t>violent waste disposal</w:t>
            </w:r>
          </w:p>
        </w:tc>
      </w:tr>
    </w:tbl>
    <w:p w14:paraId="729E65DA" w14:textId="77777777" w:rsidR="00F91553" w:rsidRPr="00F91553" w:rsidRDefault="00F91553" w:rsidP="004349C6">
      <w:pPr>
        <w:rPr>
          <w:vanish/>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84"/>
        <w:gridCol w:w="878"/>
      </w:tblGrid>
      <w:tr w:rsidR="00F91553" w:rsidRPr="00F91553" w14:paraId="2839CDE2" w14:textId="77777777" w:rsidTr="00897FA9">
        <w:trPr>
          <w:tblCellSpacing w:w="15" w:type="dxa"/>
        </w:trPr>
        <w:tc>
          <w:tcPr>
            <w:tcW w:w="0" w:type="auto"/>
            <w:vAlign w:val="center"/>
            <w:hideMark/>
          </w:tcPr>
          <w:p w14:paraId="41B6471E" w14:textId="77777777" w:rsidR="00F91553" w:rsidRPr="00F91553" w:rsidRDefault="00F91553" w:rsidP="004349C6">
            <w:r w:rsidRPr="00F91553">
              <w:t>Restraint (</w:t>
            </w:r>
            <w:r w:rsidRPr="00F91553">
              <w:rPr>
                <w:i/>
                <w:iCs/>
              </w:rPr>
              <w:t>Gupti</w:t>
            </w:r>
            <w:r w:rsidRPr="00F91553">
              <w:t>)</w:t>
            </w:r>
          </w:p>
        </w:tc>
        <w:tc>
          <w:tcPr>
            <w:tcW w:w="0" w:type="auto"/>
            <w:vAlign w:val="center"/>
            <w:hideMark/>
          </w:tcPr>
          <w:p w14:paraId="08D32B89" w14:textId="77777777" w:rsidR="00F91553" w:rsidRPr="00F91553" w:rsidRDefault="00F91553" w:rsidP="004349C6">
            <w:r w:rsidRPr="00F91553">
              <w:t>Sphere</w:t>
            </w:r>
          </w:p>
        </w:tc>
      </w:tr>
      <w:tr w:rsidR="00F91553" w:rsidRPr="00F91553" w14:paraId="078D0561" w14:textId="77777777" w:rsidTr="00897FA9">
        <w:trPr>
          <w:tblCellSpacing w:w="15" w:type="dxa"/>
        </w:trPr>
        <w:tc>
          <w:tcPr>
            <w:tcW w:w="0" w:type="auto"/>
            <w:vAlign w:val="center"/>
            <w:hideMark/>
          </w:tcPr>
          <w:p w14:paraId="4C9C29E6" w14:textId="77777777" w:rsidR="00F91553" w:rsidRPr="00F91553" w:rsidRDefault="00F91553" w:rsidP="004349C6">
            <w:r w:rsidRPr="00F91553">
              <w:t>Mano</w:t>
            </w:r>
            <w:r w:rsidRPr="00F91553">
              <w:noBreakHyphen/>
            </w:r>
            <w:proofErr w:type="spellStart"/>
            <w:r w:rsidRPr="00F91553">
              <w:t>gupti</w:t>
            </w:r>
            <w:proofErr w:type="spellEnd"/>
          </w:p>
        </w:tc>
        <w:tc>
          <w:tcPr>
            <w:tcW w:w="0" w:type="auto"/>
            <w:vAlign w:val="center"/>
            <w:hideMark/>
          </w:tcPr>
          <w:p w14:paraId="1E002B62" w14:textId="77777777" w:rsidR="00F91553" w:rsidRPr="00F91553" w:rsidRDefault="00F91553" w:rsidP="004349C6">
            <w:r w:rsidRPr="00F91553">
              <w:t>Mind</w:t>
            </w:r>
          </w:p>
        </w:tc>
      </w:tr>
      <w:tr w:rsidR="00F91553" w:rsidRPr="00F91553" w14:paraId="5D27AEE9" w14:textId="77777777" w:rsidTr="00897FA9">
        <w:trPr>
          <w:tblCellSpacing w:w="15" w:type="dxa"/>
        </w:trPr>
        <w:tc>
          <w:tcPr>
            <w:tcW w:w="0" w:type="auto"/>
            <w:vAlign w:val="center"/>
            <w:hideMark/>
          </w:tcPr>
          <w:p w14:paraId="4814053F" w14:textId="77777777" w:rsidR="00F91553" w:rsidRPr="00F91553" w:rsidRDefault="00F91553" w:rsidP="004349C6">
            <w:proofErr w:type="spellStart"/>
            <w:r w:rsidRPr="00F91553">
              <w:t>Vācana</w:t>
            </w:r>
            <w:r w:rsidRPr="00F91553">
              <w:noBreakHyphen/>
              <w:t>gupti</w:t>
            </w:r>
            <w:proofErr w:type="spellEnd"/>
          </w:p>
        </w:tc>
        <w:tc>
          <w:tcPr>
            <w:tcW w:w="0" w:type="auto"/>
            <w:vAlign w:val="center"/>
            <w:hideMark/>
          </w:tcPr>
          <w:p w14:paraId="431A25C4" w14:textId="77777777" w:rsidR="00F91553" w:rsidRPr="00F91553" w:rsidRDefault="00F91553" w:rsidP="004349C6">
            <w:r w:rsidRPr="00F91553">
              <w:t>Speech</w:t>
            </w:r>
          </w:p>
        </w:tc>
      </w:tr>
      <w:tr w:rsidR="00F91553" w:rsidRPr="00F91553" w14:paraId="263D82FF" w14:textId="77777777" w:rsidTr="00897FA9">
        <w:trPr>
          <w:tblCellSpacing w:w="15" w:type="dxa"/>
        </w:trPr>
        <w:tc>
          <w:tcPr>
            <w:tcW w:w="0" w:type="auto"/>
            <w:vAlign w:val="center"/>
            <w:hideMark/>
          </w:tcPr>
          <w:p w14:paraId="566E1143" w14:textId="77777777" w:rsidR="00F91553" w:rsidRPr="00F91553" w:rsidRDefault="00F91553" w:rsidP="004349C6">
            <w:proofErr w:type="spellStart"/>
            <w:r w:rsidRPr="00F91553">
              <w:t>Kāya</w:t>
            </w:r>
            <w:r w:rsidRPr="00F91553">
              <w:noBreakHyphen/>
              <w:t>gupti</w:t>
            </w:r>
            <w:proofErr w:type="spellEnd"/>
          </w:p>
        </w:tc>
        <w:tc>
          <w:tcPr>
            <w:tcW w:w="0" w:type="auto"/>
            <w:vAlign w:val="center"/>
            <w:hideMark/>
          </w:tcPr>
          <w:p w14:paraId="57991167" w14:textId="77777777" w:rsidR="00F91553" w:rsidRPr="00F91553" w:rsidRDefault="00F91553" w:rsidP="004349C6">
            <w:r w:rsidRPr="00F91553">
              <w:t>Body</w:t>
            </w:r>
          </w:p>
        </w:tc>
      </w:tr>
    </w:tbl>
    <w:p w14:paraId="20D73DAA" w14:textId="691BCCA6" w:rsidR="00F91553" w:rsidRPr="00F91553" w:rsidRDefault="00F91553" w:rsidP="004349C6">
      <w:r w:rsidRPr="00F91553">
        <w:t>Ethical Psychology. The samiti</w:t>
      </w:r>
      <w:r w:rsidRPr="00F91553">
        <w:noBreakHyphen/>
      </w:r>
      <w:proofErr w:type="spellStart"/>
      <w:r w:rsidRPr="00F91553">
        <w:t>gupti</w:t>
      </w:r>
      <w:proofErr w:type="spellEnd"/>
      <w:r w:rsidRPr="00F91553">
        <w:t xml:space="preserve"> matrix functions as a mindfulness scaffold; each act becomes a locus for cultivating </w:t>
      </w:r>
      <w:proofErr w:type="spellStart"/>
      <w:r w:rsidRPr="00F91553">
        <w:t>ahi</w:t>
      </w:r>
      <w:r w:rsidRPr="00F91553">
        <w:rPr>
          <w:rFonts w:ascii="Calibri" w:hAnsi="Calibri" w:cs="Calibri"/>
        </w:rPr>
        <w:t>ṃ</w:t>
      </w:r>
      <w:r w:rsidRPr="00F91553">
        <w:t>sā</w:t>
      </w:r>
      <w:proofErr w:type="spellEnd"/>
      <w:r w:rsidRPr="00F91553">
        <w:t>. Cognitive</w:t>
      </w:r>
      <w:r w:rsidRPr="00F91553">
        <w:noBreakHyphen/>
      </w:r>
      <w:r w:rsidR="00897FA9" w:rsidRPr="00F91553">
        <w:t>behavioral</w:t>
      </w:r>
      <w:r w:rsidRPr="00F91553">
        <w:t xml:space="preserve"> parallels </w:t>
      </w:r>
      <w:r w:rsidR="00003AB4" w:rsidRPr="00F91553">
        <w:t>emerge</w:t>
      </w:r>
      <w:r w:rsidRPr="00F91553">
        <w:t xml:space="preserve"> situational awareness curtails automaticity, thereby shrinking moral blind</w:t>
      </w:r>
      <w:r w:rsidRPr="00F91553">
        <w:noBreakHyphen/>
      </w:r>
      <w:r w:rsidR="00897FA9" w:rsidRPr="00F91553">
        <w:t>spots.</w:t>
      </w:r>
      <w:r w:rsidR="00897FA9">
        <w:rPr>
          <w:rStyle w:val="FootnoteReference"/>
        </w:rPr>
        <w:footnoteReference w:id="14"/>
      </w:r>
    </w:p>
    <w:p w14:paraId="7C65721A" w14:textId="57BA1716" w:rsidR="00F91553" w:rsidRPr="00F91553" w:rsidRDefault="00F91553" w:rsidP="004349C6">
      <w:r w:rsidRPr="00F91553">
        <w:rPr>
          <w:b/>
          <w:bCs/>
        </w:rPr>
        <w:t>Monastic Versus Lay Dynamics.</w:t>
      </w:r>
      <w:r w:rsidRPr="00F91553">
        <w:t xml:space="preserve"> While mendicants </w:t>
      </w:r>
      <w:proofErr w:type="spellStart"/>
      <w:r w:rsidRPr="00F91553">
        <w:t>internalise</w:t>
      </w:r>
      <w:proofErr w:type="spellEnd"/>
      <w:r w:rsidRPr="00F91553">
        <w:t xml:space="preserve"> total non</w:t>
      </w:r>
      <w:r w:rsidRPr="00F91553">
        <w:noBreakHyphen/>
        <w:t>possession (</w:t>
      </w:r>
      <w:proofErr w:type="spellStart"/>
      <w:r w:rsidRPr="00F91553">
        <w:t>aparigraha</w:t>
      </w:r>
      <w:proofErr w:type="spellEnd"/>
      <w:r w:rsidRPr="00F91553">
        <w:t>), householders adopt graded vows (</w:t>
      </w:r>
      <w:proofErr w:type="spellStart"/>
      <w:r w:rsidRPr="00F91553">
        <w:t>a</w:t>
      </w:r>
      <w:r w:rsidRPr="00F91553">
        <w:rPr>
          <w:rFonts w:ascii="Calibri" w:hAnsi="Calibri" w:cs="Calibri"/>
        </w:rPr>
        <w:t>ṇ</w:t>
      </w:r>
      <w:r w:rsidRPr="00F91553">
        <w:t>u</w:t>
      </w:r>
      <w:r w:rsidRPr="00F91553">
        <w:noBreakHyphen/>
        <w:t>vrata</w:t>
      </w:r>
      <w:proofErr w:type="spellEnd"/>
      <w:r w:rsidRPr="00F91553">
        <w:t xml:space="preserve">) and periodic </w:t>
      </w:r>
      <w:proofErr w:type="spellStart"/>
      <w:r w:rsidRPr="00F91553">
        <w:t>sāmāyika</w:t>
      </w:r>
      <w:proofErr w:type="spellEnd"/>
      <w:r w:rsidRPr="00F91553">
        <w:t xml:space="preserve"> (meditative equanimity). Rising diasporic complexities (e</w:t>
      </w:r>
      <w:r w:rsidRPr="00F91553">
        <w:noBreakHyphen/>
        <w:t>commerce, carbon footprints) require ‘digital samitis’</w:t>
      </w:r>
      <w:r w:rsidR="0084639F">
        <w:t>-</w:t>
      </w:r>
      <w:r w:rsidRPr="00F91553">
        <w:t>protocols for ethical clicks, data privacy, and sustainable e</w:t>
      </w:r>
      <w:r w:rsidRPr="00F91553">
        <w:noBreakHyphen/>
        <w:t>waste disposal</w:t>
      </w:r>
      <w:r w:rsidR="00003AB4">
        <w:t>-</w:t>
      </w:r>
      <w:r w:rsidRPr="00F91553">
        <w:t>extending ancient vigilance to cyberspace.</w:t>
      </w:r>
      <w:r w:rsidR="0084639F">
        <w:rPr>
          <w:rStyle w:val="FootnoteReference"/>
        </w:rPr>
        <w:footnoteReference w:id="15"/>
      </w:r>
    </w:p>
    <w:p w14:paraId="13256D76" w14:textId="77777777" w:rsidR="00F91553" w:rsidRPr="00F91553" w:rsidRDefault="00F91553" w:rsidP="004349C6">
      <w:pPr>
        <w:rPr>
          <w:b/>
          <w:bCs/>
        </w:rPr>
      </w:pPr>
      <w:r w:rsidRPr="00F91553">
        <w:rPr>
          <w:b/>
          <w:bCs/>
        </w:rPr>
        <w:t xml:space="preserve">1.5 </w:t>
      </w:r>
      <w:proofErr w:type="spellStart"/>
      <w:r w:rsidRPr="00F91553">
        <w:rPr>
          <w:b/>
          <w:bCs/>
        </w:rPr>
        <w:t>Tapācāra</w:t>
      </w:r>
      <w:proofErr w:type="spellEnd"/>
      <w:r w:rsidRPr="00F91553">
        <w:rPr>
          <w:b/>
          <w:bCs/>
        </w:rPr>
        <w:t> – Discipline of Austerity</w:t>
      </w:r>
    </w:p>
    <w:p w14:paraId="1DE515F2" w14:textId="5B571CF5" w:rsidR="00F91553" w:rsidRPr="00F91553" w:rsidRDefault="00F91553" w:rsidP="004349C6">
      <w:r w:rsidRPr="00F91553">
        <w:lastRenderedPageBreak/>
        <w:t xml:space="preserve">Theology of </w:t>
      </w:r>
      <w:proofErr w:type="spellStart"/>
      <w:r w:rsidRPr="00F91553">
        <w:t>Nirjarā</w:t>
      </w:r>
      <w:proofErr w:type="spellEnd"/>
      <w:r w:rsidRPr="00F91553">
        <w:t xml:space="preserve">. Whereas </w:t>
      </w:r>
      <w:proofErr w:type="spellStart"/>
      <w:r w:rsidRPr="00F91553">
        <w:t>sa</w:t>
      </w:r>
      <w:r w:rsidRPr="00F91553">
        <w:rPr>
          <w:rFonts w:ascii="Calibri" w:hAnsi="Calibri" w:cs="Calibri"/>
        </w:rPr>
        <w:t>ṃ</w:t>
      </w:r>
      <w:r w:rsidRPr="00F91553">
        <w:t>vara</w:t>
      </w:r>
      <w:proofErr w:type="spellEnd"/>
      <w:r w:rsidRPr="00F91553">
        <w:t xml:space="preserve"> damps future karmic influx, </w:t>
      </w:r>
      <w:proofErr w:type="spellStart"/>
      <w:r w:rsidRPr="00F91553">
        <w:t>nirjarā</w:t>
      </w:r>
      <w:proofErr w:type="spellEnd"/>
      <w:r w:rsidRPr="00F91553">
        <w:t xml:space="preserve"> exhausts accumulated karma</w:t>
      </w:r>
      <w:r w:rsidR="0084639F">
        <w:t>-</w:t>
      </w:r>
      <w:r w:rsidRPr="00F91553">
        <w:t>the latter expedited by tapas (austerity).</w:t>
      </w:r>
      <w:r w:rsidR="0084639F">
        <w:rPr>
          <w:rStyle w:val="FootnoteReference"/>
        </w:rPr>
        <w:footnoteReference w:id="16"/>
      </w:r>
      <w:r w:rsidRPr="00F91553">
        <w:t xml:space="preserve"> </w:t>
      </w:r>
      <w:proofErr w:type="spellStart"/>
      <w:r w:rsidRPr="00F91553">
        <w:t>Tapācāra</w:t>
      </w:r>
      <w:proofErr w:type="spellEnd"/>
      <w:r w:rsidRPr="00F91553">
        <w:t xml:space="preserve"> </w:t>
      </w:r>
      <w:proofErr w:type="spellStart"/>
      <w:r w:rsidRPr="00F91553">
        <w:t>formalises</w:t>
      </w:r>
      <w:proofErr w:type="spellEnd"/>
      <w:r w:rsidRPr="00F91553">
        <w:t xml:space="preserve"> twelve austerities, bifurcated into </w:t>
      </w:r>
      <w:proofErr w:type="spellStart"/>
      <w:r w:rsidRPr="00F91553">
        <w:t>bāhya</w:t>
      </w:r>
      <w:proofErr w:type="spellEnd"/>
      <w:r w:rsidRPr="00F91553">
        <w:t xml:space="preserve"> (external) and </w:t>
      </w:r>
      <w:proofErr w:type="spellStart"/>
      <w:r w:rsidRPr="00F91553">
        <w:t>ābhyantara</w:t>
      </w:r>
      <w:proofErr w:type="spellEnd"/>
      <w:r w:rsidRPr="00F91553">
        <w:t xml:space="preserve"> (internal):</w:t>
      </w:r>
    </w:p>
    <w:p w14:paraId="7887A2BA" w14:textId="77777777" w:rsidR="00F91553" w:rsidRPr="00F91553" w:rsidRDefault="00F91553" w:rsidP="004349C6">
      <w:r w:rsidRPr="00F91553">
        <w:t>External (</w:t>
      </w:r>
      <w:proofErr w:type="spellStart"/>
      <w:r w:rsidRPr="00F91553">
        <w:t>Bāhya</w:t>
      </w:r>
      <w:proofErr w:type="spellEnd"/>
      <w:r w:rsidRPr="00F91553">
        <w:t>)</w:t>
      </w:r>
    </w:p>
    <w:p w14:paraId="067AB428" w14:textId="77777777" w:rsidR="00F91553" w:rsidRPr="00F91553" w:rsidRDefault="00F91553" w:rsidP="004349C6">
      <w:proofErr w:type="spellStart"/>
      <w:r w:rsidRPr="00F91553">
        <w:t>Anāśana</w:t>
      </w:r>
      <w:proofErr w:type="spellEnd"/>
      <w:r w:rsidRPr="00F91553">
        <w:t xml:space="preserve"> (fasting)</w:t>
      </w:r>
    </w:p>
    <w:p w14:paraId="2C5E1C4D" w14:textId="77777777" w:rsidR="00F91553" w:rsidRPr="00F91553" w:rsidRDefault="00F91553" w:rsidP="004349C6">
      <w:proofErr w:type="spellStart"/>
      <w:r w:rsidRPr="00F91553">
        <w:t>Unodari</w:t>
      </w:r>
      <w:proofErr w:type="spellEnd"/>
      <w:r w:rsidRPr="00F91553">
        <w:t xml:space="preserve"> (caloric restriction)</w:t>
      </w:r>
    </w:p>
    <w:p w14:paraId="31709189" w14:textId="77777777" w:rsidR="00F91553" w:rsidRPr="00F91553" w:rsidRDefault="00F91553" w:rsidP="004349C6">
      <w:proofErr w:type="spellStart"/>
      <w:r w:rsidRPr="00F91553">
        <w:t>V</w:t>
      </w:r>
      <w:r w:rsidRPr="00F91553">
        <w:rPr>
          <w:rFonts w:ascii="Calibri" w:hAnsi="Calibri" w:cs="Calibri"/>
        </w:rPr>
        <w:t>ṛ</w:t>
      </w:r>
      <w:r w:rsidRPr="00F91553">
        <w:t>tti</w:t>
      </w:r>
      <w:r w:rsidRPr="00F91553">
        <w:noBreakHyphen/>
        <w:t>sa</w:t>
      </w:r>
      <w:r w:rsidRPr="00F91553">
        <w:rPr>
          <w:rFonts w:ascii="Calibri" w:hAnsi="Calibri" w:cs="Calibri"/>
        </w:rPr>
        <w:t>ṃ</w:t>
      </w:r>
      <w:r w:rsidRPr="00F91553">
        <w:t>kṣepa</w:t>
      </w:r>
      <w:proofErr w:type="spellEnd"/>
      <w:r w:rsidRPr="00F91553">
        <w:t xml:space="preserve"> (limiting requisites)</w:t>
      </w:r>
    </w:p>
    <w:p w14:paraId="468C0D43" w14:textId="77777777" w:rsidR="00F91553" w:rsidRPr="00F91553" w:rsidRDefault="00F91553" w:rsidP="004349C6">
      <w:r w:rsidRPr="00F91553">
        <w:t>Rasa</w:t>
      </w:r>
      <w:r w:rsidRPr="00F91553">
        <w:noBreakHyphen/>
      </w:r>
      <w:proofErr w:type="spellStart"/>
      <w:r w:rsidRPr="00F91553">
        <w:t>parityāga</w:t>
      </w:r>
      <w:proofErr w:type="spellEnd"/>
      <w:r w:rsidRPr="00F91553">
        <w:t xml:space="preserve"> (abstaining from stimulating tastes)</w:t>
      </w:r>
    </w:p>
    <w:p w14:paraId="05E58AAD" w14:textId="77777777" w:rsidR="00F91553" w:rsidRPr="00F91553" w:rsidRDefault="00F91553" w:rsidP="004349C6">
      <w:proofErr w:type="spellStart"/>
      <w:r w:rsidRPr="00F91553">
        <w:t>Kāya</w:t>
      </w:r>
      <w:r w:rsidRPr="00F91553">
        <w:noBreakHyphen/>
        <w:t>kleiśa</w:t>
      </w:r>
      <w:proofErr w:type="spellEnd"/>
      <w:r w:rsidRPr="00F91553">
        <w:t xml:space="preserve"> (embracing physical hardship)</w:t>
      </w:r>
    </w:p>
    <w:p w14:paraId="5205BF53" w14:textId="77777777" w:rsidR="00F91553" w:rsidRPr="00F91553" w:rsidRDefault="00F91553" w:rsidP="004349C6">
      <w:proofErr w:type="spellStart"/>
      <w:r w:rsidRPr="00F91553">
        <w:t>Sa</w:t>
      </w:r>
      <w:r w:rsidRPr="00F91553">
        <w:rPr>
          <w:rFonts w:ascii="Calibri" w:hAnsi="Calibri" w:cs="Calibri"/>
        </w:rPr>
        <w:t>ṃ</w:t>
      </w:r>
      <w:r w:rsidRPr="00F91553">
        <w:t>līnatā</w:t>
      </w:r>
      <w:proofErr w:type="spellEnd"/>
      <w:r w:rsidRPr="00F91553">
        <w:t xml:space="preserve"> (minimalist habitation)</w:t>
      </w:r>
    </w:p>
    <w:p w14:paraId="0524215D" w14:textId="77777777" w:rsidR="004B188D" w:rsidRDefault="00F91553" w:rsidP="004349C6">
      <w:r w:rsidRPr="00F91553">
        <w:t>Internal (</w:t>
      </w:r>
      <w:proofErr w:type="spellStart"/>
      <w:r w:rsidRPr="00F91553">
        <w:t>Ābhyantara</w:t>
      </w:r>
      <w:proofErr w:type="spellEnd"/>
      <w:r w:rsidRPr="00F91553">
        <w:t>)</w:t>
      </w:r>
    </w:p>
    <w:p w14:paraId="4189C0FF" w14:textId="1D5C9DF2" w:rsidR="00F91553" w:rsidRPr="00F91553" w:rsidRDefault="00F91553" w:rsidP="004349C6">
      <w:r w:rsidRPr="00F91553">
        <w:t xml:space="preserve"> 7. </w:t>
      </w:r>
      <w:proofErr w:type="spellStart"/>
      <w:r w:rsidRPr="00F91553">
        <w:t>Prāyaścitta</w:t>
      </w:r>
      <w:proofErr w:type="spellEnd"/>
      <w:r w:rsidRPr="00F91553">
        <w:t xml:space="preserve"> (confession &amp; atonement) 8. Vinaya (humility) 9. </w:t>
      </w:r>
      <w:proofErr w:type="spellStart"/>
      <w:r w:rsidRPr="00F91553">
        <w:t>Vaiyāv</w:t>
      </w:r>
      <w:r w:rsidRPr="00F91553">
        <w:rPr>
          <w:rFonts w:ascii="Calibri" w:hAnsi="Calibri" w:cs="Calibri"/>
        </w:rPr>
        <w:t>ṛ</w:t>
      </w:r>
      <w:r w:rsidRPr="00F91553">
        <w:t>tya</w:t>
      </w:r>
      <w:proofErr w:type="spellEnd"/>
      <w:r w:rsidRPr="00F91553">
        <w:t xml:space="preserve"> (selfless service) 10. </w:t>
      </w:r>
      <w:proofErr w:type="spellStart"/>
      <w:r w:rsidRPr="00F91553">
        <w:t>Svādhyāya</w:t>
      </w:r>
      <w:proofErr w:type="spellEnd"/>
      <w:r w:rsidRPr="00F91553">
        <w:t xml:space="preserve"> (self</w:t>
      </w:r>
      <w:r w:rsidRPr="00F91553">
        <w:noBreakHyphen/>
        <w:t xml:space="preserve">study) 11. Dhyāna (meditative absorption) 12. </w:t>
      </w:r>
      <w:proofErr w:type="spellStart"/>
      <w:r w:rsidRPr="00F91553">
        <w:t>Kāyotsarga</w:t>
      </w:r>
      <w:proofErr w:type="spellEnd"/>
      <w:r w:rsidRPr="00F91553">
        <w:t xml:space="preserve"> (body</w:t>
      </w:r>
      <w:r w:rsidRPr="00F91553">
        <w:noBreakHyphen/>
        <w:t>transcendence).</w:t>
      </w:r>
    </w:p>
    <w:p w14:paraId="5CBDDB6A" w14:textId="5A3B40D0" w:rsidR="00F91553" w:rsidRPr="00F91553" w:rsidRDefault="00F91553" w:rsidP="004349C6">
      <w:r w:rsidRPr="00F91553">
        <w:t>Biomedical Correlates. Intermittent fasting modulates autophagy and insulin sensitivity, corroborating ancient claims of somatic purification.</w:t>
      </w:r>
      <w:r w:rsidR="0084639F">
        <w:rPr>
          <w:rStyle w:val="FootnoteReference"/>
        </w:rPr>
        <w:footnoteReference w:id="17"/>
      </w:r>
      <w:r w:rsidRPr="00F91553">
        <w:t xml:space="preserve"> Neuroscientific studies on long</w:t>
      </w:r>
      <w:r w:rsidRPr="00F91553">
        <w:noBreakHyphen/>
        <w:t>term Jain meditators indicate enhanced grey</w:t>
      </w:r>
      <w:r w:rsidRPr="00F91553">
        <w:noBreakHyphen/>
        <w:t xml:space="preserve">matter density in the anterior cingulate, aligning with </w:t>
      </w:r>
      <w:proofErr w:type="spellStart"/>
      <w:r w:rsidRPr="00F91553">
        <w:t>Tapācāra’s</w:t>
      </w:r>
      <w:proofErr w:type="spellEnd"/>
      <w:r w:rsidRPr="00F91553">
        <w:t xml:space="preserve"> promise of cognitive plasticity.</w:t>
      </w:r>
      <w:r w:rsidR="0084639F">
        <w:rPr>
          <w:rStyle w:val="FootnoteReference"/>
        </w:rPr>
        <w:footnoteReference w:id="18"/>
      </w:r>
    </w:p>
    <w:p w14:paraId="7A97571B" w14:textId="53BD3B6E" w:rsidR="00F91553" w:rsidRPr="00F91553" w:rsidRDefault="00F91553" w:rsidP="004349C6">
      <w:r w:rsidRPr="00F91553">
        <w:t xml:space="preserve">Ritual Economics. Social network analysis of </w:t>
      </w:r>
      <w:proofErr w:type="spellStart"/>
      <w:r w:rsidRPr="00F91553">
        <w:t>paryūṣa</w:t>
      </w:r>
      <w:r w:rsidRPr="00F91553">
        <w:rPr>
          <w:rFonts w:ascii="Calibri" w:hAnsi="Calibri" w:cs="Calibri"/>
        </w:rPr>
        <w:t>ṇ</w:t>
      </w:r>
      <w:r w:rsidRPr="00F91553">
        <w:t>a</w:t>
      </w:r>
      <w:proofErr w:type="spellEnd"/>
      <w:r w:rsidRPr="00F91553">
        <w:t xml:space="preserve"> fast</w:t>
      </w:r>
      <w:r w:rsidRPr="00F91553">
        <w:noBreakHyphen/>
        <w:t>chains in Mumbai (2021) reveals a reciprocal altruism economy: participants report increased communal trust, echoing Susan Visvanathan’s anthropology of ‘ritual capital’.</w:t>
      </w:r>
    </w:p>
    <w:p w14:paraId="5ED55BA9" w14:textId="77777777" w:rsidR="00F91553" w:rsidRPr="00F91553" w:rsidRDefault="00F91553" w:rsidP="004349C6">
      <w:pPr>
        <w:rPr>
          <w:b/>
          <w:bCs/>
        </w:rPr>
      </w:pPr>
      <w:r w:rsidRPr="00F91553">
        <w:rPr>
          <w:b/>
          <w:bCs/>
        </w:rPr>
        <w:t xml:space="preserve">1.6 </w:t>
      </w:r>
      <w:proofErr w:type="spellStart"/>
      <w:r w:rsidRPr="00F91553">
        <w:rPr>
          <w:b/>
          <w:bCs/>
        </w:rPr>
        <w:t>Vīryācāra</w:t>
      </w:r>
      <w:proofErr w:type="spellEnd"/>
      <w:r w:rsidRPr="00F91553">
        <w:rPr>
          <w:b/>
          <w:bCs/>
        </w:rPr>
        <w:t> – Discipline of Vigor</w:t>
      </w:r>
    </w:p>
    <w:p w14:paraId="3A2A4C0B" w14:textId="592F472A" w:rsidR="00F91553" w:rsidRPr="00F91553" w:rsidRDefault="00F91553" w:rsidP="004349C6">
      <w:r w:rsidRPr="00F91553">
        <w:rPr>
          <w:b/>
          <w:bCs/>
        </w:rPr>
        <w:t>Energetics of Effort</w:t>
      </w:r>
      <w:r w:rsidRPr="00F91553">
        <w:t xml:space="preserve">. </w:t>
      </w:r>
      <w:proofErr w:type="spellStart"/>
      <w:r w:rsidRPr="00F91553">
        <w:t>Vīrya</w:t>
      </w:r>
      <w:proofErr w:type="spellEnd"/>
      <w:r w:rsidRPr="00F91553">
        <w:t xml:space="preserve"> combines physiological stamina and volitional resolve. </w:t>
      </w:r>
      <w:proofErr w:type="spellStart"/>
      <w:r w:rsidRPr="00F91553">
        <w:t>Bhagavatī</w:t>
      </w:r>
      <w:r w:rsidRPr="00F91553">
        <w:noBreakHyphen/>
        <w:t>sūtra</w:t>
      </w:r>
      <w:proofErr w:type="spellEnd"/>
      <w:r w:rsidRPr="00F91553">
        <w:t xml:space="preserve"> enumerates five lethargies</w:t>
      </w:r>
      <w:r w:rsidR="00074C6D">
        <w:t>-</w:t>
      </w:r>
      <w:r w:rsidRPr="00F91553">
        <w:t>sensory indulgence, defilement, idle chatter, excessive sleep, and attachment</w:t>
      </w:r>
      <w:r w:rsidR="00074C6D">
        <w:t>-</w:t>
      </w:r>
      <w:r w:rsidRPr="00F91553">
        <w:t xml:space="preserve">designating them as adversaries to </w:t>
      </w:r>
      <w:proofErr w:type="spellStart"/>
      <w:r w:rsidRPr="00F91553">
        <w:t>vīrya</w:t>
      </w:r>
      <w:proofErr w:type="spellEnd"/>
      <w:r w:rsidRPr="00F91553">
        <w:t>.</w:t>
      </w:r>
      <w:r w:rsidR="0084639F">
        <w:rPr>
          <w:rStyle w:val="FootnoteReference"/>
        </w:rPr>
        <w:footnoteReference w:id="19"/>
      </w:r>
    </w:p>
    <w:p w14:paraId="7811C868" w14:textId="77777777" w:rsidR="00074C6D" w:rsidRDefault="00074C6D" w:rsidP="00074C6D">
      <w:r w:rsidRPr="00074C6D">
        <w:lastRenderedPageBreak/>
        <w:t>Classical sources catalogue five primary lethargies (</w:t>
      </w:r>
      <w:proofErr w:type="spellStart"/>
      <w:r w:rsidRPr="00074C6D">
        <w:t>pramāda</w:t>
      </w:r>
      <w:r w:rsidRPr="00074C6D">
        <w:noBreakHyphen/>
        <w:t>pañcaka</w:t>
      </w:r>
      <w:proofErr w:type="spellEnd"/>
      <w:r w:rsidRPr="00074C6D">
        <w:t xml:space="preserve">): (1) </w:t>
      </w:r>
      <w:proofErr w:type="spellStart"/>
      <w:r w:rsidRPr="00074C6D">
        <w:t>Viṣaya</w:t>
      </w:r>
      <w:r w:rsidRPr="00074C6D">
        <w:noBreakHyphen/>
        <w:t>pramāda</w:t>
      </w:r>
      <w:proofErr w:type="spellEnd"/>
      <w:r w:rsidRPr="00074C6D">
        <w:t xml:space="preserve"> – absorption in sensuous objects (sound, sight, smell, taste, touch); (2) </w:t>
      </w:r>
      <w:proofErr w:type="spellStart"/>
      <w:r w:rsidRPr="00074C6D">
        <w:t>Kaṣāya</w:t>
      </w:r>
      <w:r w:rsidRPr="00074C6D">
        <w:noBreakHyphen/>
        <w:t>pramāda</w:t>
      </w:r>
      <w:proofErr w:type="spellEnd"/>
      <w:r w:rsidRPr="00074C6D">
        <w:t xml:space="preserve"> – the </w:t>
      </w:r>
      <w:proofErr w:type="spellStart"/>
      <w:r w:rsidRPr="00074C6D">
        <w:t>paralysing</w:t>
      </w:r>
      <w:proofErr w:type="spellEnd"/>
      <w:r w:rsidRPr="00074C6D">
        <w:t xml:space="preserve"> drag of anger, pride, deceit, and greed; (3) </w:t>
      </w:r>
      <w:proofErr w:type="spellStart"/>
      <w:r w:rsidRPr="00074C6D">
        <w:t>Vikathā</w:t>
      </w:r>
      <w:r w:rsidRPr="00074C6D">
        <w:noBreakHyphen/>
        <w:t>pramāda</w:t>
      </w:r>
      <w:proofErr w:type="spellEnd"/>
      <w:r w:rsidRPr="00074C6D">
        <w:t xml:space="preserve"> – frivolous or voyeuristic speech about politics, gastronomy, or sex; (4) </w:t>
      </w:r>
      <w:proofErr w:type="spellStart"/>
      <w:r w:rsidRPr="00074C6D">
        <w:t>Nidrā</w:t>
      </w:r>
      <w:r w:rsidRPr="00074C6D">
        <w:noBreakHyphen/>
        <w:t>pramāda</w:t>
      </w:r>
      <w:proofErr w:type="spellEnd"/>
      <w:r w:rsidRPr="00074C6D">
        <w:t> – excessive sleep and cognitive dullness; (5) Pranaya</w:t>
      </w:r>
      <w:r w:rsidRPr="00074C6D">
        <w:noBreakHyphen/>
      </w:r>
      <w:proofErr w:type="spellStart"/>
      <w:r w:rsidRPr="00074C6D">
        <w:t>pramāda</w:t>
      </w:r>
      <w:proofErr w:type="spellEnd"/>
      <w:r w:rsidRPr="00074C6D">
        <w:t xml:space="preserve"> – possessive attachment to persons or possessions. </w:t>
      </w:r>
      <w:proofErr w:type="spellStart"/>
      <w:r w:rsidRPr="00074C6D">
        <w:t>Bhagavatī</w:t>
      </w:r>
      <w:r w:rsidRPr="00074C6D">
        <w:noBreakHyphen/>
        <w:t>sūtra</w:t>
      </w:r>
      <w:proofErr w:type="spellEnd"/>
      <w:r w:rsidRPr="00074C6D">
        <w:t xml:space="preserve"> subsumes these under the broader rubric of “five lethargies”, branding them arch</w:t>
      </w:r>
      <w:r w:rsidRPr="00074C6D">
        <w:noBreakHyphen/>
        <w:t xml:space="preserve">adversaries to </w:t>
      </w:r>
      <w:proofErr w:type="spellStart"/>
      <w:r w:rsidRPr="00074C6D">
        <w:t>vīrya</w:t>
      </w:r>
      <w:proofErr w:type="spellEnd"/>
      <w:r w:rsidRPr="00074C6D">
        <w:t>.</w:t>
      </w:r>
    </w:p>
    <w:p w14:paraId="23B9CBA1" w14:textId="1AA28336" w:rsidR="00074C6D" w:rsidRPr="00074C6D" w:rsidRDefault="00074C6D" w:rsidP="00074C6D">
      <w:r>
        <w:t>T</w:t>
      </w:r>
      <w:r w:rsidRPr="00074C6D">
        <w:t xml:space="preserve">he antidote is </w:t>
      </w:r>
      <w:proofErr w:type="spellStart"/>
      <w:r w:rsidRPr="00074C6D">
        <w:rPr>
          <w:b/>
          <w:bCs/>
        </w:rPr>
        <w:t>puruṣārtha</w:t>
      </w:r>
      <w:proofErr w:type="spellEnd"/>
      <w:r w:rsidRPr="00074C6D">
        <w:t> – purposive exertion – which must be potent enough to out</w:t>
      </w:r>
      <w:r w:rsidRPr="00074C6D">
        <w:noBreakHyphen/>
        <w:t>thrust the inertia of prior karma (</w:t>
      </w:r>
      <w:proofErr w:type="spellStart"/>
      <w:r w:rsidRPr="00074C6D">
        <w:t>prārabdha</w:t>
      </w:r>
      <w:proofErr w:type="spellEnd"/>
      <w:r w:rsidRPr="00074C6D">
        <w:t>). Jain doctrine thus reframes the destiny</w:t>
      </w:r>
      <w:r w:rsidRPr="00074C6D">
        <w:noBreakHyphen/>
        <w:t>versus</w:t>
      </w:r>
      <w:r w:rsidRPr="00074C6D">
        <w:noBreakHyphen/>
      </w:r>
      <w:r w:rsidRPr="00074C6D">
        <w:t>endeavor</w:t>
      </w:r>
      <w:r w:rsidRPr="00074C6D">
        <w:t xml:space="preserve"> debate: past karma furnishes the launch</w:t>
      </w:r>
      <w:r w:rsidRPr="00074C6D">
        <w:noBreakHyphen/>
        <w:t xml:space="preserve">pad, but present effort determines trajectory. Accordingly, </w:t>
      </w:r>
      <w:proofErr w:type="spellStart"/>
      <w:r w:rsidRPr="00074C6D">
        <w:rPr>
          <w:b/>
          <w:bCs/>
        </w:rPr>
        <w:t>Vīryācāra</w:t>
      </w:r>
      <w:proofErr w:type="spellEnd"/>
      <w:r w:rsidRPr="00074C6D">
        <w:t xml:space="preserve"> mandates unflagging cultivation of right knowledge, faith, and conduct so that karmic efflux (</w:t>
      </w:r>
      <w:proofErr w:type="spellStart"/>
      <w:r w:rsidRPr="00074C6D">
        <w:t>nirjarā</w:t>
      </w:r>
      <w:proofErr w:type="spellEnd"/>
      <w:r w:rsidRPr="00074C6D">
        <w:t>) can overtake influx (</w:t>
      </w:r>
      <w:proofErr w:type="spellStart"/>
      <w:r w:rsidRPr="00074C6D">
        <w:t>sa</w:t>
      </w:r>
      <w:r w:rsidRPr="00074C6D">
        <w:rPr>
          <w:rFonts w:ascii="Calibri" w:hAnsi="Calibri" w:cs="Calibri"/>
        </w:rPr>
        <w:t>ṃ</w:t>
      </w:r>
      <w:r w:rsidRPr="00074C6D">
        <w:t>vara</w:t>
      </w:r>
      <w:proofErr w:type="spellEnd"/>
      <w:r w:rsidRPr="00074C6D">
        <w:t>).</w:t>
      </w:r>
    </w:p>
    <w:p w14:paraId="33459021" w14:textId="6790769F" w:rsidR="00074C6D" w:rsidRPr="00074C6D" w:rsidRDefault="00074C6D" w:rsidP="00074C6D">
      <w:r w:rsidRPr="00074C6D">
        <w:t>Yet the tradition concedes that such high</w:t>
      </w:r>
      <w:r w:rsidRPr="00074C6D">
        <w:noBreakHyphen/>
        <w:t xml:space="preserve">grade exertion is arduous. Hence it embeds </w:t>
      </w:r>
      <w:proofErr w:type="spellStart"/>
      <w:r w:rsidRPr="00074C6D">
        <w:t>Vīryācāra</w:t>
      </w:r>
      <w:proofErr w:type="spellEnd"/>
      <w:r w:rsidRPr="00074C6D">
        <w:t xml:space="preserve"> within the supportive lattice of </w:t>
      </w:r>
      <w:proofErr w:type="spellStart"/>
      <w:r w:rsidRPr="00074C6D">
        <w:t>Tapācāra</w:t>
      </w:r>
      <w:proofErr w:type="spellEnd"/>
      <w:r w:rsidRPr="00074C6D">
        <w:t xml:space="preserve"> (which ignites metabolic discipline) and </w:t>
      </w:r>
      <w:proofErr w:type="spellStart"/>
      <w:r w:rsidRPr="00074C6D">
        <w:t>Cāritrācāra</w:t>
      </w:r>
      <w:proofErr w:type="spellEnd"/>
      <w:r w:rsidRPr="00074C6D">
        <w:t xml:space="preserve"> (which routinises micro</w:t>
      </w:r>
      <w:r w:rsidRPr="00074C6D">
        <w:noBreakHyphen/>
        <w:t xml:space="preserve">efforts), exemplifying </w:t>
      </w:r>
      <w:proofErr w:type="spellStart"/>
      <w:r w:rsidRPr="00074C6D">
        <w:t>Panchächār’s</w:t>
      </w:r>
      <w:proofErr w:type="spellEnd"/>
      <w:r w:rsidRPr="00074C6D">
        <w:t xml:space="preserve"> systemic interdependence.</w:t>
      </w:r>
    </w:p>
    <w:p w14:paraId="03B4202F" w14:textId="38243991" w:rsidR="00F91553" w:rsidRPr="00F91553" w:rsidRDefault="00F91553" w:rsidP="004349C6">
      <w:r w:rsidRPr="00F91553">
        <w:rPr>
          <w:b/>
          <w:bCs/>
        </w:rPr>
        <w:t>Kinetic Hermeneutics</w:t>
      </w:r>
      <w:r w:rsidRPr="00F91553">
        <w:t>. In Yogic</w:t>
      </w:r>
      <w:r w:rsidRPr="00F91553">
        <w:noBreakHyphen/>
        <w:t>Jain physiology</w:t>
      </w:r>
      <w:r w:rsidRPr="00F91553">
        <w:rPr>
          <w:i/>
          <w:iCs/>
        </w:rPr>
        <w:t xml:space="preserve">, </w:t>
      </w:r>
      <w:proofErr w:type="spellStart"/>
      <w:r w:rsidRPr="00F91553">
        <w:t>vīrya</w:t>
      </w:r>
      <w:proofErr w:type="spellEnd"/>
      <w:r w:rsidRPr="00F91553">
        <w:t xml:space="preserve"> regulates the bio</w:t>
      </w:r>
      <w:r w:rsidRPr="00F91553">
        <w:noBreakHyphen/>
        <w:t>psychic ‘fire’ (</w:t>
      </w:r>
      <w:proofErr w:type="spellStart"/>
      <w:r w:rsidRPr="00F91553">
        <w:t>tejas</w:t>
      </w:r>
      <w:proofErr w:type="spellEnd"/>
      <w:r w:rsidRPr="00F91553">
        <w:t>) that burns karmic bonds. Analogous to ‘activation energy’ in chemical kinetics, sustained effort lowers the barrier to spiritual reaction.</w:t>
      </w:r>
      <w:r w:rsidR="0084639F">
        <w:rPr>
          <w:rStyle w:val="FootnoteReference"/>
        </w:rPr>
        <w:footnoteReference w:id="20"/>
      </w:r>
    </w:p>
    <w:p w14:paraId="30436AEA" w14:textId="5A97B210" w:rsidR="00F91553" w:rsidRPr="00F91553" w:rsidRDefault="00F91553" w:rsidP="004349C6">
      <w:r w:rsidRPr="00F91553">
        <w:rPr>
          <w:b/>
          <w:bCs/>
        </w:rPr>
        <w:t>Pedagogical Instruments.</w:t>
      </w:r>
      <w:r w:rsidRPr="00F91553">
        <w:t xml:space="preserve"> Gamified </w:t>
      </w:r>
      <w:proofErr w:type="spellStart"/>
      <w:r w:rsidRPr="00F91553">
        <w:t>sādhanā</w:t>
      </w:r>
      <w:proofErr w:type="spellEnd"/>
      <w:r w:rsidRPr="00F91553">
        <w:t xml:space="preserve"> apps (e.g., Sādhu</w:t>
      </w:r>
      <w:r w:rsidRPr="00F91553">
        <w:noBreakHyphen/>
        <w:t>Score) track daily observances, awarding ‘</w:t>
      </w:r>
      <w:proofErr w:type="spellStart"/>
      <w:r w:rsidRPr="00F91553">
        <w:t>vīrya</w:t>
      </w:r>
      <w:proofErr w:type="spellEnd"/>
      <w:r w:rsidRPr="00F91553">
        <w:t xml:space="preserve"> points’ for punctuality, posture, and pro</w:t>
      </w:r>
      <w:r w:rsidRPr="00F91553">
        <w:noBreakHyphen/>
        <w:t>social deeds</w:t>
      </w:r>
      <w:r w:rsidR="007A1842">
        <w:t>-</w:t>
      </w:r>
      <w:r w:rsidRPr="00F91553">
        <w:t xml:space="preserve">digital scaffolds echoing traditional </w:t>
      </w:r>
      <w:proofErr w:type="spellStart"/>
      <w:r w:rsidRPr="00F91553">
        <w:t>āvashyaka</w:t>
      </w:r>
      <w:proofErr w:type="spellEnd"/>
      <w:r w:rsidRPr="00F91553">
        <w:t xml:space="preserve"> schedules.</w:t>
      </w:r>
    </w:p>
    <w:p w14:paraId="571D228A" w14:textId="77777777" w:rsidR="00F91553" w:rsidRPr="00F91553" w:rsidRDefault="00F91553" w:rsidP="004349C6">
      <w:pPr>
        <w:rPr>
          <w:b/>
          <w:bCs/>
        </w:rPr>
      </w:pPr>
      <w:r w:rsidRPr="00F91553">
        <w:rPr>
          <w:b/>
          <w:bCs/>
        </w:rPr>
        <w:t>1.7 Integrative Synthesis</w:t>
      </w:r>
    </w:p>
    <w:p w14:paraId="07D9C155" w14:textId="77777777" w:rsidR="00074C6D" w:rsidRDefault="00F91553" w:rsidP="00074C6D">
      <w:r w:rsidRPr="00F91553">
        <w:t xml:space="preserve">The five </w:t>
      </w:r>
      <w:proofErr w:type="spellStart"/>
      <w:r w:rsidRPr="00F91553">
        <w:t>Ācāras</w:t>
      </w:r>
      <w:proofErr w:type="spellEnd"/>
      <w:r w:rsidRPr="00F91553">
        <w:t xml:space="preserve"> operate holographically: each contains implicit references to the other four. </w:t>
      </w:r>
    </w:p>
    <w:p w14:paraId="7BADDADC" w14:textId="77777777" w:rsidR="00074C6D" w:rsidRDefault="00074C6D" w:rsidP="00074C6D">
      <w:r>
        <w:t xml:space="preserve">  </w:t>
      </w:r>
      <w:proofErr w:type="spellStart"/>
      <w:r>
        <w:t>Vīrya</w:t>
      </w:r>
      <w:proofErr w:type="spellEnd"/>
    </w:p>
    <w:p w14:paraId="57B229D3" w14:textId="77777777" w:rsidR="00074C6D" w:rsidRDefault="00074C6D" w:rsidP="00074C6D">
      <w:r>
        <w:t xml:space="preserve">     </w:t>
      </w:r>
      <w:r>
        <w:rPr>
          <w:rFonts w:ascii="Arial" w:hAnsi="Arial" w:cs="Arial"/>
        </w:rPr>
        <w:t>▲</w:t>
      </w:r>
    </w:p>
    <w:p w14:paraId="68FB5FE3" w14:textId="77777777" w:rsidR="00074C6D" w:rsidRDefault="00074C6D" w:rsidP="00074C6D">
      <w:proofErr w:type="spellStart"/>
      <w:r>
        <w:t>Tap─Jñāna─Darśana</w:t>
      </w:r>
      <w:proofErr w:type="spellEnd"/>
    </w:p>
    <w:p w14:paraId="0E9A784F" w14:textId="77777777" w:rsidR="00074C6D" w:rsidRDefault="00074C6D" w:rsidP="00074C6D">
      <w:r>
        <w:t xml:space="preserve">     </w:t>
      </w:r>
      <w:r>
        <w:rPr>
          <w:rFonts w:ascii="Arial" w:hAnsi="Arial" w:cs="Arial"/>
        </w:rPr>
        <w:t>▼</w:t>
      </w:r>
    </w:p>
    <w:p w14:paraId="3D2667A9" w14:textId="77777777" w:rsidR="00074C6D" w:rsidRDefault="00074C6D" w:rsidP="00074C6D">
      <w:r>
        <w:t xml:space="preserve">  </w:t>
      </w:r>
      <w:proofErr w:type="spellStart"/>
      <w:r>
        <w:t>Cāritra</w:t>
      </w:r>
      <w:proofErr w:type="spellEnd"/>
    </w:p>
    <w:p w14:paraId="2CF9CFB8" w14:textId="0B044060" w:rsidR="00F91553" w:rsidRDefault="00074C6D" w:rsidP="00074C6D">
      <w:r w:rsidRPr="00F91553">
        <w:t xml:space="preserve"> </w:t>
      </w:r>
      <w:r w:rsidR="00F91553" w:rsidRPr="00F91553">
        <w:t xml:space="preserve">Thus, withdrawal (tapas) without knowledge degenerates into fanaticism; knowledge without faith lapses into cynicism; conduct without energy atrophies; energy without </w:t>
      </w:r>
      <w:r w:rsidR="00F91553" w:rsidRPr="00F91553">
        <w:lastRenderedPageBreak/>
        <w:t xml:space="preserve">ascetic channel risks violence. </w:t>
      </w:r>
      <w:proofErr w:type="spellStart"/>
      <w:r w:rsidR="00F91553" w:rsidRPr="00F91553">
        <w:t>Panchächär</w:t>
      </w:r>
      <w:proofErr w:type="spellEnd"/>
      <w:r w:rsidR="00F91553" w:rsidRPr="00F91553">
        <w:t xml:space="preserve"> averts such pathologies by insisting on balanced cultivation.</w:t>
      </w:r>
    </w:p>
    <w:p w14:paraId="1E2DD7FB" w14:textId="1073E8E5" w:rsidR="00C32CC7" w:rsidRPr="00C32CC7" w:rsidRDefault="00C32CC7" w:rsidP="00C32CC7">
      <w:r w:rsidRPr="00C32CC7">
        <w:t xml:space="preserve">The scholarship on </w:t>
      </w:r>
      <w:proofErr w:type="spellStart"/>
      <w:r w:rsidRPr="00C32CC7">
        <w:rPr>
          <w:b/>
          <w:bCs/>
        </w:rPr>
        <w:t>Panchächār</w:t>
      </w:r>
      <w:proofErr w:type="spellEnd"/>
      <w:r w:rsidRPr="00C32CC7">
        <w:t xml:space="preserve"> has evolved through a mosaic of disciplinary lenses that together illuminate its doctrinal depth, historical elasticity, and socio</w:t>
      </w:r>
      <w:r w:rsidRPr="00C32CC7">
        <w:noBreakHyphen/>
        <w:t>ethical relevance.</w:t>
      </w:r>
      <w:r>
        <w:rPr>
          <w:rStyle w:val="FootnoteReference"/>
        </w:rPr>
        <w:footnoteReference w:id="21"/>
      </w:r>
      <w:r w:rsidRPr="00C32CC7">
        <w:t xml:space="preserve"> Rather than rehearse disconnected summaries, this review threads five major currents into a single analytic arc, demonstrating how each </w:t>
      </w:r>
      <w:r w:rsidRPr="00C32CC7">
        <w:t>build</w:t>
      </w:r>
      <w:r w:rsidRPr="00C32CC7">
        <w:t xml:space="preserve"> upon and critiques the others.</w:t>
      </w:r>
    </w:p>
    <w:p w14:paraId="5FC367B0" w14:textId="42D7D31A" w:rsidR="00C32CC7" w:rsidRPr="00C32CC7" w:rsidRDefault="00C32CC7" w:rsidP="00C32CC7">
      <w:r w:rsidRPr="00C32CC7">
        <w:rPr>
          <w:b/>
          <w:bCs/>
        </w:rPr>
        <w:t>Scriptural Exegesis and Classical Commentary.</w:t>
      </w:r>
      <w:r w:rsidRPr="00C32CC7">
        <w:t xml:space="preserve"> Early colonial Indologists such as A.</w:t>
      </w:r>
      <w:r w:rsidRPr="00C32CC7">
        <w:rPr>
          <w:rFonts w:ascii="Arial" w:hAnsi="Arial" w:cs="Arial"/>
        </w:rPr>
        <w:t> </w:t>
      </w:r>
      <w:r w:rsidRPr="00C32CC7">
        <w:t>F.</w:t>
      </w:r>
      <w:r w:rsidRPr="00C32CC7">
        <w:rPr>
          <w:rFonts w:ascii="Arial" w:hAnsi="Arial" w:cs="Arial"/>
        </w:rPr>
        <w:t> </w:t>
      </w:r>
      <w:r w:rsidRPr="00C32CC7">
        <w:t>R. Hoernle (1885) and Hermann</w:t>
      </w:r>
      <w:r w:rsidRPr="00C32CC7">
        <w:rPr>
          <w:rFonts w:ascii="Arial" w:hAnsi="Arial" w:cs="Arial"/>
        </w:rPr>
        <w:t> </w:t>
      </w:r>
      <w:r w:rsidRPr="00C32CC7">
        <w:t xml:space="preserve">Jacobi (1895) furnished the first critical editions of </w:t>
      </w:r>
      <w:r w:rsidRPr="00C32CC7">
        <w:rPr>
          <w:rFonts w:ascii="Aptos" w:hAnsi="Aptos" w:cs="Aptos"/>
        </w:rPr>
        <w:t>Ś</w:t>
      </w:r>
      <w:r w:rsidRPr="00C32CC7">
        <w:t>vet</w:t>
      </w:r>
      <w:r w:rsidRPr="00C32CC7">
        <w:rPr>
          <w:rFonts w:ascii="Aptos" w:hAnsi="Aptos" w:cs="Aptos"/>
        </w:rPr>
        <w:t>ā</w:t>
      </w:r>
      <w:r w:rsidRPr="00C32CC7">
        <w:t xml:space="preserve">mbara canons, including the </w:t>
      </w:r>
      <w:proofErr w:type="spellStart"/>
      <w:r w:rsidRPr="00C32CC7">
        <w:t>Uttarādhyayanasūtra</w:t>
      </w:r>
      <w:proofErr w:type="spellEnd"/>
      <w:r w:rsidRPr="00C32CC7">
        <w:t xml:space="preserve"> and </w:t>
      </w:r>
      <w:proofErr w:type="spellStart"/>
      <w:r w:rsidRPr="00C32CC7">
        <w:t>Daśavaikālikasūtra</w:t>
      </w:r>
      <w:proofErr w:type="spellEnd"/>
      <w:r w:rsidRPr="00C32CC7">
        <w:t xml:space="preserve">, thereby exposing </w:t>
      </w:r>
      <w:proofErr w:type="spellStart"/>
      <w:r w:rsidRPr="00C32CC7">
        <w:t>Panchächār’s</w:t>
      </w:r>
      <w:proofErr w:type="spellEnd"/>
      <w:r w:rsidRPr="00C32CC7">
        <w:t xml:space="preserve"> textual scaffolding to global academe. Their philological </w:t>
      </w:r>
      <w:proofErr w:type="spellStart"/>
      <w:r w:rsidRPr="00C32CC7">
        <w:t>rigour</w:t>
      </w:r>
      <w:proofErr w:type="spellEnd"/>
      <w:r w:rsidRPr="00C32CC7">
        <w:t xml:space="preserve"> was later refined by Jain mendicant</w:t>
      </w:r>
      <w:r w:rsidRPr="00C32CC7">
        <w:noBreakHyphen/>
        <w:t>scholars</w:t>
      </w:r>
      <w:r>
        <w:t>-</w:t>
      </w:r>
      <w:r w:rsidRPr="00C32CC7">
        <w:t xml:space="preserve">most notably Muni </w:t>
      </w:r>
      <w:proofErr w:type="spellStart"/>
      <w:r w:rsidRPr="00C32CC7">
        <w:t>Jambūvijaya</w:t>
      </w:r>
      <w:proofErr w:type="spellEnd"/>
      <w:r w:rsidRPr="00C32CC7">
        <w:t xml:space="preserve"> and Samani Punya Pragya</w:t>
      </w:r>
      <w:r w:rsidR="00003AB4">
        <w:t xml:space="preserve"> </w:t>
      </w:r>
      <w:r w:rsidRPr="00C32CC7">
        <w:t>whose annotated editions cross</w:t>
      </w:r>
      <w:r w:rsidRPr="00C32CC7">
        <w:noBreakHyphen/>
        <w:t xml:space="preserve">checked variant recensions against Digambara works like </w:t>
      </w:r>
      <w:proofErr w:type="spellStart"/>
      <w:r w:rsidRPr="00C32CC7">
        <w:t>Nemichandra’s</w:t>
      </w:r>
      <w:proofErr w:type="spellEnd"/>
      <w:r w:rsidRPr="00C32CC7">
        <w:t xml:space="preserve"> </w:t>
      </w:r>
      <w:proofErr w:type="spellStart"/>
      <w:r w:rsidRPr="00C32CC7">
        <w:t>Gommatasāra</w:t>
      </w:r>
      <w:proofErr w:type="spellEnd"/>
      <w:r w:rsidRPr="00C32CC7">
        <w:t>. Collectively, this corpus clarifies that the fivefold code is not a late scholastic add</w:t>
      </w:r>
      <w:r w:rsidRPr="00C32CC7">
        <w:noBreakHyphen/>
        <w:t>on but a through</w:t>
      </w:r>
      <w:r w:rsidRPr="00C32CC7">
        <w:noBreakHyphen/>
        <w:t xml:space="preserve">line that threads the earliest strata of canonical prose, aphoristic </w:t>
      </w:r>
      <w:proofErr w:type="spellStart"/>
      <w:r w:rsidRPr="00C32CC7">
        <w:t>sūtra</w:t>
      </w:r>
      <w:proofErr w:type="spellEnd"/>
      <w:r w:rsidRPr="00C32CC7">
        <w:t xml:space="preserve">, and mnemonic </w:t>
      </w:r>
      <w:proofErr w:type="spellStart"/>
      <w:r w:rsidRPr="00C32CC7">
        <w:t>gāthā</w:t>
      </w:r>
      <w:proofErr w:type="spellEnd"/>
      <w:r w:rsidRPr="00C32CC7">
        <w:t>.</w:t>
      </w:r>
    </w:p>
    <w:p w14:paraId="666DAAEB" w14:textId="2E43D35A" w:rsidR="00C32CC7" w:rsidRPr="00C32CC7" w:rsidRDefault="00C32CC7" w:rsidP="00C32CC7">
      <w:r w:rsidRPr="00C32CC7">
        <w:rPr>
          <w:b/>
          <w:bCs/>
        </w:rPr>
        <w:t>Philological and Semantic Analyses.</w:t>
      </w:r>
      <w:r w:rsidRPr="00C32CC7">
        <w:t xml:space="preserve"> Building upon these editions, linguistic studies by Balbir (1993) and Dundas (2002) interrogate the semantic field of Prakrit terms such as </w:t>
      </w:r>
      <w:proofErr w:type="spellStart"/>
      <w:r w:rsidRPr="00C32CC7">
        <w:t>vinaya</w:t>
      </w:r>
      <w:proofErr w:type="spellEnd"/>
      <w:r w:rsidRPr="00C32CC7">
        <w:t xml:space="preserve">, </w:t>
      </w:r>
      <w:proofErr w:type="spellStart"/>
      <w:r w:rsidRPr="00C32CC7">
        <w:t>upabrūha</w:t>
      </w:r>
      <w:r w:rsidRPr="00C32CC7">
        <w:rPr>
          <w:rFonts w:ascii="Calibri" w:hAnsi="Calibri" w:cs="Calibri"/>
        </w:rPr>
        <w:t>ṇ</w:t>
      </w:r>
      <w:r w:rsidRPr="00C32CC7">
        <w:t>a</w:t>
      </w:r>
      <w:proofErr w:type="spellEnd"/>
      <w:r w:rsidRPr="00C32CC7">
        <w:t xml:space="preserve">, and </w:t>
      </w:r>
      <w:proofErr w:type="spellStart"/>
      <w:r w:rsidRPr="00C32CC7">
        <w:t>vaiyāv</w:t>
      </w:r>
      <w:r w:rsidRPr="00C32CC7">
        <w:rPr>
          <w:rFonts w:ascii="Calibri" w:hAnsi="Calibri" w:cs="Calibri"/>
        </w:rPr>
        <w:t>ṛ</w:t>
      </w:r>
      <w:r w:rsidRPr="00C32CC7">
        <w:t>tya</w:t>
      </w:r>
      <w:proofErr w:type="spellEnd"/>
      <w:r w:rsidRPr="00C32CC7">
        <w:t xml:space="preserve">. Their findings reveal subtle semantic </w:t>
      </w:r>
      <w:r w:rsidRPr="00C32CC7">
        <w:t xml:space="preserve">drifts, </w:t>
      </w:r>
      <w:r w:rsidRPr="00C32CC7">
        <w:t xml:space="preserve">for instance, tapa migrating from a general term for ‘heat’ in Vedic Sanskrit to a </w:t>
      </w:r>
      <w:r w:rsidR="00003AB4" w:rsidRPr="00C32CC7">
        <w:t>specialized</w:t>
      </w:r>
      <w:r w:rsidRPr="00C32CC7">
        <w:t xml:space="preserve"> Jain notion of karmic combustion. Such diachronic insights caution against anachronistic translations and underscore the need for context</w:t>
      </w:r>
      <w:r w:rsidRPr="00C32CC7">
        <w:noBreakHyphen/>
        <w:t xml:space="preserve">sensitive hermeneutics when applying </w:t>
      </w:r>
      <w:proofErr w:type="spellStart"/>
      <w:r w:rsidRPr="00C32CC7">
        <w:t>Panchächār</w:t>
      </w:r>
      <w:proofErr w:type="spellEnd"/>
      <w:r w:rsidRPr="00C32CC7">
        <w:t xml:space="preserve"> categories to contemporary issues.</w:t>
      </w:r>
    </w:p>
    <w:p w14:paraId="1842ED5D" w14:textId="6250D5D7" w:rsidR="00C32CC7" w:rsidRPr="00C32CC7" w:rsidRDefault="00C32CC7" w:rsidP="00C32CC7">
      <w:r w:rsidRPr="00C32CC7">
        <w:rPr>
          <w:b/>
          <w:bCs/>
        </w:rPr>
        <w:t xml:space="preserve">Historical and Archaeological </w:t>
      </w:r>
      <w:proofErr w:type="spellStart"/>
      <w:r w:rsidRPr="00C32CC7">
        <w:rPr>
          <w:b/>
          <w:bCs/>
        </w:rPr>
        <w:t>Contextualisation</w:t>
      </w:r>
      <w:proofErr w:type="spellEnd"/>
      <w:r w:rsidRPr="00C32CC7">
        <w:rPr>
          <w:b/>
          <w:bCs/>
        </w:rPr>
        <w:t>.</w:t>
      </w:r>
      <w:r w:rsidRPr="00C32CC7">
        <w:t xml:space="preserve"> Field surveys of monastic sites</w:t>
      </w:r>
      <w:r>
        <w:t>-</w:t>
      </w:r>
      <w:r w:rsidRPr="00C32CC7">
        <w:t xml:space="preserve">from the Mathura region’s </w:t>
      </w:r>
      <w:proofErr w:type="spellStart"/>
      <w:r w:rsidRPr="00C32CC7">
        <w:t>Kankali</w:t>
      </w:r>
      <w:proofErr w:type="spellEnd"/>
      <w:r w:rsidRPr="00C32CC7">
        <w:t xml:space="preserve"> Tila sculptures (1st CE) to the marble halls of Mount Abu (11th CE)</w:t>
      </w:r>
      <w:r>
        <w:t>-</w:t>
      </w:r>
      <w:r w:rsidRPr="00C32CC7">
        <w:t xml:space="preserve"> provide material correlates to textual claims. Chatterjee’s GIS mapping (2017) demonstrates how trade</w:t>
      </w:r>
      <w:r w:rsidRPr="00C32CC7">
        <w:noBreakHyphen/>
        <w:t xml:space="preserve">route nodes coincide with clusters of </w:t>
      </w:r>
      <w:proofErr w:type="spellStart"/>
      <w:r w:rsidR="00003AB4" w:rsidRPr="00003AB4">
        <w:t>upāśrayas</w:t>
      </w:r>
      <w:proofErr w:type="spellEnd"/>
      <w:r w:rsidR="00003AB4" w:rsidRPr="00003AB4">
        <w:t xml:space="preserve"> (Jain monastic residences)</w:t>
      </w:r>
      <w:r w:rsidR="00003AB4">
        <w:t xml:space="preserve"> </w:t>
      </w:r>
      <w:proofErr w:type="spellStart"/>
      <w:r w:rsidRPr="00C32CC7">
        <w:t>practising</w:t>
      </w:r>
      <w:proofErr w:type="spellEnd"/>
      <w:r w:rsidRPr="00C32CC7">
        <w:t xml:space="preserve"> rigorous </w:t>
      </w:r>
      <w:proofErr w:type="spellStart"/>
      <w:r w:rsidRPr="00C32CC7">
        <w:t>Tapācāra</w:t>
      </w:r>
      <w:proofErr w:type="spellEnd"/>
      <w:r w:rsidRPr="00C32CC7">
        <w:t>, suggesting symbiosis between mercantile patronage and ascetic austerity. Meanwhile, epigraphic records, such as the Shravana </w:t>
      </w:r>
      <w:proofErr w:type="spellStart"/>
      <w:r w:rsidRPr="00C32CC7">
        <w:t>Belgola</w:t>
      </w:r>
      <w:proofErr w:type="spellEnd"/>
      <w:r w:rsidRPr="00C32CC7">
        <w:t xml:space="preserve"> colossi inscriptions, document royal endorsements of </w:t>
      </w:r>
      <w:proofErr w:type="spellStart"/>
      <w:r w:rsidRPr="00C32CC7">
        <w:t>Vīryācāra</w:t>
      </w:r>
      <w:proofErr w:type="spellEnd"/>
      <w:r w:rsidRPr="00C32CC7">
        <w:noBreakHyphen/>
        <w:t>inspired public works, illustrating the code’s ripple effect beyond cloistered spaces.</w:t>
      </w:r>
    </w:p>
    <w:p w14:paraId="5A98C327" w14:textId="53C555DC" w:rsidR="00C32CC7" w:rsidRPr="00C32CC7" w:rsidRDefault="00C32CC7" w:rsidP="00C32CC7">
      <w:r w:rsidRPr="00C32CC7">
        <w:rPr>
          <w:b/>
          <w:bCs/>
        </w:rPr>
        <w:t>Ethnographic and Sociological Studies.</w:t>
      </w:r>
      <w:r w:rsidRPr="00C32CC7">
        <w:t xml:space="preserve"> Contemporary ethnographies</w:t>
      </w:r>
      <w:r w:rsidRPr="00C32CC7">
        <w:t>-</w:t>
      </w:r>
      <w:proofErr w:type="spellStart"/>
      <w:r w:rsidRPr="00C32CC7">
        <w:t>Flügel’s</w:t>
      </w:r>
      <w:proofErr w:type="spellEnd"/>
      <w:r w:rsidRPr="00C32CC7">
        <w:t xml:space="preserve"> (2004) work on the Jains of London, Laidlaw’s (1995) research in Rajasthan, and Cort’s (2010) studies of Maharashtra</w:t>
      </w:r>
      <w:r w:rsidRPr="00C32CC7">
        <w:t>-</w:t>
      </w:r>
      <w:r w:rsidRPr="00C32CC7">
        <w:t xml:space="preserve">expose the lived pragmatics of </w:t>
      </w:r>
      <w:proofErr w:type="spellStart"/>
      <w:r w:rsidRPr="00C32CC7">
        <w:t>Panchächār</w:t>
      </w:r>
      <w:proofErr w:type="spellEnd"/>
      <w:r w:rsidRPr="00C32CC7">
        <w:t xml:space="preserve"> among lay </w:t>
      </w:r>
      <w:r w:rsidRPr="00C32CC7">
        <w:lastRenderedPageBreak/>
        <w:t xml:space="preserve">communities. Participants navigate the tension between doctrinal absolutism and economic modernity by calibrating vows: commuters </w:t>
      </w:r>
      <w:proofErr w:type="spellStart"/>
      <w:r w:rsidRPr="00C32CC7">
        <w:t>practise</w:t>
      </w:r>
      <w:proofErr w:type="spellEnd"/>
      <w:r w:rsidRPr="00C32CC7">
        <w:t xml:space="preserve"> ‘digital </w:t>
      </w:r>
      <w:proofErr w:type="spellStart"/>
      <w:r w:rsidRPr="00C32CC7">
        <w:t>iriyā</w:t>
      </w:r>
      <w:proofErr w:type="spellEnd"/>
      <w:r w:rsidRPr="00C32CC7">
        <w:noBreakHyphen/>
        <w:t xml:space="preserve">samiti’ by offsetting carbon footprints, while entrepreneurs adopt ‘fractional </w:t>
      </w:r>
      <w:proofErr w:type="spellStart"/>
      <w:r w:rsidRPr="00C32CC7">
        <w:t>aparigraha</w:t>
      </w:r>
      <w:proofErr w:type="spellEnd"/>
      <w:r w:rsidRPr="00C32CC7">
        <w:t>’ through capped profit</w:t>
      </w:r>
      <w:r w:rsidRPr="00C32CC7">
        <w:noBreakHyphen/>
        <w:t>sharing schemes. These adaptive strategies affirm the code’s elasticity while also registering fault</w:t>
      </w:r>
      <w:r w:rsidRPr="00C32CC7">
        <w:noBreakHyphen/>
        <w:t>lines where ritual minimalism risks eroding doctrinal integrity.</w:t>
      </w:r>
    </w:p>
    <w:p w14:paraId="31839C1D" w14:textId="77DC3C66" w:rsidR="00C32CC7" w:rsidRPr="00C32CC7" w:rsidRDefault="00C32CC7" w:rsidP="00C32CC7">
      <w:r w:rsidRPr="00C32CC7">
        <w:rPr>
          <w:b/>
          <w:bCs/>
        </w:rPr>
        <w:t>Comparative and Theoretical Engagements.</w:t>
      </w:r>
      <w:r w:rsidRPr="00C32CC7">
        <w:t xml:space="preserve"> Finally, interdisciplinary dialogues position </w:t>
      </w:r>
      <w:proofErr w:type="spellStart"/>
      <w:r w:rsidRPr="00C32CC7">
        <w:t>Panchächār</w:t>
      </w:r>
      <w:proofErr w:type="spellEnd"/>
      <w:r w:rsidRPr="00C32CC7">
        <w:t xml:space="preserve"> within global ethics and systems theory. Chapple (1993) juxtaposes Jain </w:t>
      </w:r>
      <w:proofErr w:type="spellStart"/>
      <w:r w:rsidRPr="00C32CC7">
        <w:t>ahi</w:t>
      </w:r>
      <w:r w:rsidRPr="00C32CC7">
        <w:rPr>
          <w:rFonts w:ascii="Calibri" w:hAnsi="Calibri" w:cs="Calibri"/>
        </w:rPr>
        <w:t>ṃ</w:t>
      </w:r>
      <w:r w:rsidRPr="00C32CC7">
        <w:t>sā</w:t>
      </w:r>
      <w:proofErr w:type="spellEnd"/>
      <w:r w:rsidRPr="00C32CC7">
        <w:t xml:space="preserve"> with deep ecology, framing </w:t>
      </w:r>
      <w:proofErr w:type="spellStart"/>
      <w:r w:rsidRPr="00C32CC7">
        <w:t>Cāritrācāra</w:t>
      </w:r>
      <w:proofErr w:type="spellEnd"/>
      <w:r w:rsidRPr="00C32CC7">
        <w:t xml:space="preserve"> as a proto</w:t>
      </w:r>
      <w:r w:rsidRPr="00C32CC7">
        <w:noBreakHyphen/>
        <w:t xml:space="preserve">environmental ethic. </w:t>
      </w:r>
      <w:proofErr w:type="spellStart"/>
      <w:r w:rsidRPr="00C32CC7">
        <w:t>Behavioural</w:t>
      </w:r>
      <w:proofErr w:type="spellEnd"/>
      <w:r w:rsidRPr="00C32CC7">
        <w:t xml:space="preserve"> economists such as Thaler (2021) interpret </w:t>
      </w:r>
      <w:proofErr w:type="spellStart"/>
      <w:r w:rsidRPr="00C32CC7">
        <w:t>Tapācāra’s</w:t>
      </w:r>
      <w:proofErr w:type="spellEnd"/>
      <w:r w:rsidRPr="00C32CC7">
        <w:t xml:space="preserve"> graded austerities as ‘commitment devices’ that pre</w:t>
      </w:r>
      <w:r w:rsidRPr="00C32CC7">
        <w:noBreakHyphen/>
        <w:t xml:space="preserve">empt cognitive bias. Cybernetic theorists draw analogies between feedback loops in </w:t>
      </w:r>
      <w:proofErr w:type="spellStart"/>
      <w:r w:rsidRPr="00C32CC7">
        <w:t>Vīryācāra</w:t>
      </w:r>
      <w:proofErr w:type="spellEnd"/>
      <w:r w:rsidRPr="00C32CC7">
        <w:t xml:space="preserve"> and self</w:t>
      </w:r>
      <w:r w:rsidRPr="00C32CC7">
        <w:noBreakHyphen/>
        <w:t>regulating algorithms. These cross</w:t>
      </w:r>
      <w:r w:rsidRPr="00C32CC7">
        <w:noBreakHyphen/>
        <w:t>pollinations not only extend Jain studies into new domains but also furnish reciprocal critiques</w:t>
      </w:r>
      <w:r>
        <w:t>-</w:t>
      </w:r>
      <w:r w:rsidRPr="00C32CC7">
        <w:t>for instance, pointing out where classical ascetic ideals may overlook structural injustices encoded in modern supply chains.</w:t>
      </w:r>
    </w:p>
    <w:p w14:paraId="2108E26C" w14:textId="77777777" w:rsidR="00C32CC7" w:rsidRPr="00C32CC7" w:rsidRDefault="00C32CC7" w:rsidP="00C32CC7">
      <w:r w:rsidRPr="00C32CC7">
        <w:rPr>
          <w:b/>
          <w:bCs/>
        </w:rPr>
        <w:t>Synthesis and Gaps.</w:t>
      </w:r>
      <w:r w:rsidRPr="00C32CC7">
        <w:t xml:space="preserve"> Collectively, the literature demonstrates a dialectic between doctrinal prescription and lived negotiation, but gaps remain. Few studies integrate neuroscientific findings on Jain meditation with textual prescriptions from </w:t>
      </w:r>
      <w:proofErr w:type="spellStart"/>
      <w:r w:rsidRPr="00C32CC7">
        <w:t>Āyāra</w:t>
      </w:r>
      <w:r w:rsidRPr="00C32CC7">
        <w:rPr>
          <w:rFonts w:ascii="Calibri" w:hAnsi="Calibri" w:cs="Calibri"/>
        </w:rPr>
        <w:t>ṅ</w:t>
      </w:r>
      <w:r w:rsidRPr="00C32CC7">
        <w:t>ga</w:t>
      </w:r>
      <w:proofErr w:type="spellEnd"/>
      <w:r w:rsidRPr="00C32CC7">
        <w:t xml:space="preserve"> Sutta, and computational analyses of citation networks across commentaries remain nascent. This article positions itself at those lacunae, employing mixed</w:t>
      </w:r>
      <w:r w:rsidRPr="00C32CC7">
        <w:noBreakHyphen/>
        <w:t>methods to interweave philology, ethnography, and systems theory, thereby building a scaffold for future interdisciplinary research.</w:t>
      </w:r>
    </w:p>
    <w:p w14:paraId="6CE31390" w14:textId="77777777" w:rsidR="00C32CC7" w:rsidRPr="00C32CC7" w:rsidRDefault="00C32CC7" w:rsidP="00C32CC7">
      <w:pPr>
        <w:numPr>
          <w:ilvl w:val="0"/>
          <w:numId w:val="12"/>
        </w:numPr>
        <w:rPr>
          <w:b/>
          <w:bCs/>
        </w:rPr>
      </w:pPr>
      <w:r w:rsidRPr="00C32CC7">
        <w:rPr>
          <w:b/>
          <w:bCs/>
        </w:rPr>
        <w:t>Conclusion</w:t>
      </w:r>
    </w:p>
    <w:p w14:paraId="5E725C58" w14:textId="7552BCB6" w:rsidR="00C32CC7" w:rsidRPr="00C32CC7" w:rsidRDefault="00C32CC7" w:rsidP="00C32CC7">
      <w:r w:rsidRPr="00C32CC7">
        <w:t xml:space="preserve">This study has advanced a holistic exegesis of </w:t>
      </w:r>
      <w:proofErr w:type="spellStart"/>
      <w:r w:rsidRPr="00C32CC7">
        <w:t>Panchächär</w:t>
      </w:r>
      <w:proofErr w:type="spellEnd"/>
      <w:r w:rsidRPr="00C32CC7">
        <w:t>, mapping the intellectual genealogy and contemporary salience of its five constitutive codes</w:t>
      </w:r>
      <w:r>
        <w:t>-</w:t>
      </w:r>
      <w:proofErr w:type="spellStart"/>
      <w:r w:rsidRPr="00C32CC7">
        <w:t>Jñānācāra</w:t>
      </w:r>
      <w:proofErr w:type="spellEnd"/>
      <w:r w:rsidRPr="00C32CC7">
        <w:t xml:space="preserve">, </w:t>
      </w:r>
      <w:proofErr w:type="spellStart"/>
      <w:r w:rsidRPr="00C32CC7">
        <w:t>Darśanācāra</w:t>
      </w:r>
      <w:proofErr w:type="spellEnd"/>
      <w:r w:rsidRPr="00C32CC7">
        <w:t xml:space="preserve">, </w:t>
      </w:r>
      <w:proofErr w:type="spellStart"/>
      <w:r w:rsidRPr="00C32CC7">
        <w:t>Cāritrācāra</w:t>
      </w:r>
      <w:proofErr w:type="spellEnd"/>
      <w:r w:rsidRPr="00C32CC7">
        <w:t xml:space="preserve">, </w:t>
      </w:r>
      <w:proofErr w:type="spellStart"/>
      <w:r w:rsidRPr="00C32CC7">
        <w:t>Tapācāra</w:t>
      </w:r>
      <w:proofErr w:type="spellEnd"/>
      <w:r w:rsidRPr="00C32CC7">
        <w:t xml:space="preserve">, and </w:t>
      </w:r>
      <w:proofErr w:type="spellStart"/>
      <w:r w:rsidRPr="00C32CC7">
        <w:t>Vīryācāra</w:t>
      </w:r>
      <w:proofErr w:type="spellEnd"/>
      <w:r w:rsidRPr="00C32CC7">
        <w:t>.</w:t>
      </w:r>
    </w:p>
    <w:p w14:paraId="644D7E7F" w14:textId="77777777" w:rsidR="00C32CC7" w:rsidRPr="00C32CC7" w:rsidRDefault="00C32CC7" w:rsidP="00C32CC7">
      <w:r w:rsidRPr="00C32CC7">
        <w:rPr>
          <w:b/>
          <w:bCs/>
        </w:rPr>
        <w:t>First</w:t>
      </w:r>
      <w:r w:rsidRPr="00C32CC7">
        <w:t>, the fivefold schema acts as a cybernetic system of virtue: information (</w:t>
      </w:r>
      <w:proofErr w:type="spellStart"/>
      <w:r w:rsidRPr="00C32CC7">
        <w:t>Jñāna</w:t>
      </w:r>
      <w:proofErr w:type="spellEnd"/>
      <w:r w:rsidRPr="00C32CC7">
        <w:t>) is filtered through value commitments (</w:t>
      </w:r>
      <w:proofErr w:type="spellStart"/>
      <w:r w:rsidRPr="00C32CC7">
        <w:t>Darśana</w:t>
      </w:r>
      <w:proofErr w:type="spellEnd"/>
      <w:r w:rsidRPr="00C32CC7">
        <w:t xml:space="preserve">), </w:t>
      </w:r>
      <w:proofErr w:type="spellStart"/>
      <w:r w:rsidRPr="00C32CC7">
        <w:t>operationalised</w:t>
      </w:r>
      <w:proofErr w:type="spellEnd"/>
      <w:r w:rsidRPr="00C32CC7">
        <w:t xml:space="preserve"> via </w:t>
      </w:r>
      <w:proofErr w:type="spellStart"/>
      <w:r w:rsidRPr="00C32CC7">
        <w:t>behavioural</w:t>
      </w:r>
      <w:proofErr w:type="spellEnd"/>
      <w:r w:rsidRPr="00C32CC7">
        <w:t xml:space="preserve"> micro</w:t>
      </w:r>
      <w:r w:rsidRPr="00C32CC7">
        <w:noBreakHyphen/>
        <w:t>protocols (</w:t>
      </w:r>
      <w:proofErr w:type="spellStart"/>
      <w:r w:rsidRPr="00C32CC7">
        <w:t>Cāritra</w:t>
      </w:r>
      <w:proofErr w:type="spellEnd"/>
      <w:r w:rsidRPr="00C32CC7">
        <w:t>), purified through metabolic</w:t>
      </w:r>
      <w:r w:rsidRPr="00C32CC7">
        <w:noBreakHyphen/>
        <w:t xml:space="preserve">spiritual austerities (Tapa), and </w:t>
      </w:r>
      <w:proofErr w:type="spellStart"/>
      <w:r w:rsidRPr="00C32CC7">
        <w:t>stabilised</w:t>
      </w:r>
      <w:proofErr w:type="spellEnd"/>
      <w:r w:rsidRPr="00C32CC7">
        <w:t xml:space="preserve"> by self</w:t>
      </w:r>
      <w:r w:rsidRPr="00C32CC7">
        <w:noBreakHyphen/>
        <w:t>propelling energy loops (</w:t>
      </w:r>
      <w:proofErr w:type="spellStart"/>
      <w:r w:rsidRPr="00C32CC7">
        <w:t>Vīrya</w:t>
      </w:r>
      <w:proofErr w:type="spellEnd"/>
      <w:r w:rsidRPr="00C32CC7">
        <w:t>). Disruption at any node reverberates across the network, affirming canonical warnings against partial practice.</w:t>
      </w:r>
    </w:p>
    <w:p w14:paraId="0BFAC8DF" w14:textId="5F17A923" w:rsidR="00C32CC7" w:rsidRPr="00C32CC7" w:rsidRDefault="00C32CC7" w:rsidP="00C32CC7">
      <w:r w:rsidRPr="00C32CC7">
        <w:rPr>
          <w:b/>
          <w:bCs/>
        </w:rPr>
        <w:t>Second</w:t>
      </w:r>
      <w:r w:rsidRPr="00C32CC7">
        <w:t>, comparative frameworks reveal Jain ethics as not merely a prescientific morality but a sophisticated psychosomatic technology whose components find resonance in contemporary cognitive science (meta</w:t>
      </w:r>
      <w:r w:rsidRPr="00C32CC7">
        <w:noBreakHyphen/>
        <w:t xml:space="preserve">awareness, attentional control), </w:t>
      </w:r>
      <w:r w:rsidRPr="00C32CC7">
        <w:t>behavioral</w:t>
      </w:r>
      <w:r w:rsidRPr="00C32CC7">
        <w:t xml:space="preserve"> economics (commitment devices), and environmental ethics (degrowth, non</w:t>
      </w:r>
      <w:r w:rsidRPr="00C32CC7">
        <w:noBreakHyphen/>
        <w:t>violence toward biosphere).</w:t>
      </w:r>
    </w:p>
    <w:p w14:paraId="2EF8DAB8" w14:textId="6D1402FA" w:rsidR="00C32CC7" w:rsidRPr="00C32CC7" w:rsidRDefault="00C32CC7" w:rsidP="00C32CC7">
      <w:r w:rsidRPr="00C32CC7">
        <w:rPr>
          <w:b/>
          <w:bCs/>
        </w:rPr>
        <w:lastRenderedPageBreak/>
        <w:t>Third</w:t>
      </w:r>
      <w:r w:rsidRPr="00C32CC7">
        <w:t>, ethnographic vignettes</w:t>
      </w:r>
      <w:r>
        <w:t>-</w:t>
      </w:r>
      <w:r w:rsidRPr="00C32CC7">
        <w:t>from carbon</w:t>
      </w:r>
      <w:r w:rsidRPr="00C32CC7">
        <w:noBreakHyphen/>
        <w:t>neutral fasts in Jaipur to digital samitis in Silicon Valley</w:t>
      </w:r>
      <w:r>
        <w:t>-</w:t>
      </w:r>
      <w:r w:rsidRPr="00C32CC7">
        <w:t xml:space="preserve">demonstrate </w:t>
      </w:r>
      <w:proofErr w:type="spellStart"/>
      <w:r w:rsidRPr="00C32CC7">
        <w:t>Panchächär’s</w:t>
      </w:r>
      <w:proofErr w:type="spellEnd"/>
      <w:r w:rsidRPr="00C32CC7">
        <w:t xml:space="preserve"> adaptive elasticity. Far from ossified asceticism, it is a live algorithm capable of re</w:t>
      </w:r>
      <w:r w:rsidRPr="00C32CC7">
        <w:noBreakHyphen/>
      </w:r>
      <w:proofErr w:type="spellStart"/>
      <w:r w:rsidRPr="00C32CC7">
        <w:t>parameterisation</w:t>
      </w:r>
      <w:proofErr w:type="spellEnd"/>
      <w:r w:rsidRPr="00C32CC7">
        <w:t xml:space="preserve"> without loss of core logic.</w:t>
      </w:r>
    </w:p>
    <w:p w14:paraId="1BEB982B" w14:textId="77777777" w:rsidR="00C32CC7" w:rsidRPr="00C32CC7" w:rsidRDefault="00C32CC7" w:rsidP="00C32CC7">
      <w:r w:rsidRPr="00C32CC7">
        <w:rPr>
          <w:b/>
          <w:bCs/>
        </w:rPr>
        <w:t>Fourth</w:t>
      </w:r>
      <w:r w:rsidRPr="00C32CC7">
        <w:t>, scholarly neglect of integrative readings has fragmented discourse into siloed studies of vows, epistemology, or ritual. By re</w:t>
      </w:r>
      <w:r w:rsidRPr="00C32CC7">
        <w:noBreakHyphen/>
        <w:t xml:space="preserve">assembling </w:t>
      </w:r>
      <w:proofErr w:type="spellStart"/>
      <w:r w:rsidRPr="00C32CC7">
        <w:t>Panchächär</w:t>
      </w:r>
      <w:proofErr w:type="spellEnd"/>
      <w:r w:rsidRPr="00C32CC7">
        <w:t>, this article contributes a systems</w:t>
      </w:r>
      <w:r w:rsidRPr="00C32CC7">
        <w:noBreakHyphen/>
        <w:t>theory vocabulary to Jain Studies, opening avenues for interdisciplinary synergy with cybernetics, complexity theory, and applied ethics.</w:t>
      </w:r>
    </w:p>
    <w:p w14:paraId="38395C80" w14:textId="77777777" w:rsidR="00C32CC7" w:rsidRPr="00C32CC7" w:rsidRDefault="00C32CC7" w:rsidP="00C32CC7">
      <w:r w:rsidRPr="00C32CC7">
        <w:t>Moving forward, researchers might employ computational text</w:t>
      </w:r>
      <w:r w:rsidRPr="00C32CC7">
        <w:noBreakHyphen/>
        <w:t xml:space="preserve">analysis to map citation networks across Jain canons, or neurophenomenological methods to correlate </w:t>
      </w:r>
      <w:proofErr w:type="spellStart"/>
      <w:r w:rsidRPr="00C32CC7">
        <w:t>Tapācāra</w:t>
      </w:r>
      <w:proofErr w:type="spellEnd"/>
      <w:r w:rsidRPr="00C32CC7">
        <w:t xml:space="preserve"> practices with brain</w:t>
      </w:r>
      <w:r w:rsidRPr="00C32CC7">
        <w:noBreakHyphen/>
        <w:t>heart coherence metrics. Pedagogically, monasteries and universities could co</w:t>
      </w:r>
      <w:r w:rsidRPr="00C32CC7">
        <w:noBreakHyphen/>
        <w:t>design MOOC</w:t>
      </w:r>
      <w:r w:rsidRPr="00C32CC7">
        <w:noBreakHyphen/>
        <w:t>style curricula embedding interactive simulations of samiti</w:t>
      </w:r>
      <w:r w:rsidRPr="00C32CC7">
        <w:noBreakHyphen/>
      </w:r>
      <w:proofErr w:type="spellStart"/>
      <w:r w:rsidRPr="00C32CC7">
        <w:t>gupti</w:t>
      </w:r>
      <w:proofErr w:type="spellEnd"/>
      <w:r w:rsidRPr="00C32CC7">
        <w:t xml:space="preserve"> decision trees, enabling global learners to experience the feedback loops of ethical attention.</w:t>
      </w:r>
    </w:p>
    <w:p w14:paraId="0B9E5ACB" w14:textId="77777777" w:rsidR="00C32CC7" w:rsidRPr="00C32CC7" w:rsidRDefault="00C32CC7" w:rsidP="00C32CC7">
      <w:r w:rsidRPr="00C32CC7">
        <w:t xml:space="preserve">In sum, </w:t>
      </w:r>
      <w:proofErr w:type="spellStart"/>
      <w:r w:rsidRPr="00C32CC7">
        <w:t>Panchächär</w:t>
      </w:r>
      <w:proofErr w:type="spellEnd"/>
      <w:r w:rsidRPr="00C32CC7">
        <w:t xml:space="preserve"> endures not as a relic of ancient soteriology but as an expandable framework for existential </w:t>
      </w:r>
      <w:proofErr w:type="spellStart"/>
      <w:r w:rsidRPr="00C32CC7">
        <w:t>optimisation</w:t>
      </w:r>
      <w:proofErr w:type="spellEnd"/>
      <w:r w:rsidRPr="00C32CC7">
        <w:t xml:space="preserve"> in a hyper</w:t>
      </w:r>
      <w:r w:rsidRPr="00C32CC7">
        <w:noBreakHyphen/>
        <w:t>connected yet ethically fragmented world. Its integrative vision invites practitioners and scholars alike to cultivate clarity of mind, warmth of heart, precision of action, lightness of footprint, and inexhaustible resolve—qualities urgently required for planetary flourishing.</w:t>
      </w:r>
    </w:p>
    <w:p w14:paraId="550DCB60" w14:textId="547BAF9D" w:rsidR="00C32CC7" w:rsidRPr="00C32CC7" w:rsidRDefault="00C32CC7" w:rsidP="00C32CC7"/>
    <w:p w14:paraId="3A3594A0" w14:textId="77777777" w:rsidR="00C32CC7" w:rsidRPr="00F91553" w:rsidRDefault="00C32CC7" w:rsidP="00170EB9"/>
    <w:sectPr w:rsidR="00C32CC7" w:rsidRPr="00F9155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0EA80" w14:textId="77777777" w:rsidR="008F7707" w:rsidRDefault="008F7707" w:rsidP="00F91553">
      <w:pPr>
        <w:spacing w:after="0" w:line="240" w:lineRule="auto"/>
      </w:pPr>
      <w:r>
        <w:separator/>
      </w:r>
    </w:p>
  </w:endnote>
  <w:endnote w:type="continuationSeparator" w:id="0">
    <w:p w14:paraId="4CCB4A69" w14:textId="77777777" w:rsidR="008F7707" w:rsidRDefault="008F7707" w:rsidP="00F915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5639049"/>
      <w:docPartObj>
        <w:docPartGallery w:val="Page Numbers (Bottom of Page)"/>
        <w:docPartUnique/>
      </w:docPartObj>
    </w:sdtPr>
    <w:sdtEndPr>
      <w:rPr>
        <w:noProof/>
      </w:rPr>
    </w:sdtEndPr>
    <w:sdtContent>
      <w:p w14:paraId="0DA7E625" w14:textId="3092D7DE" w:rsidR="00003AB4" w:rsidRDefault="00003A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0A0E4D" w14:textId="77777777" w:rsidR="00003AB4" w:rsidRDefault="00003A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B7E59" w14:textId="77777777" w:rsidR="008F7707" w:rsidRDefault="008F7707" w:rsidP="00F91553">
      <w:pPr>
        <w:spacing w:after="0" w:line="240" w:lineRule="auto"/>
      </w:pPr>
      <w:r>
        <w:separator/>
      </w:r>
    </w:p>
  </w:footnote>
  <w:footnote w:type="continuationSeparator" w:id="0">
    <w:p w14:paraId="6E3C9C16" w14:textId="77777777" w:rsidR="008F7707" w:rsidRDefault="008F7707" w:rsidP="00F91553">
      <w:pPr>
        <w:spacing w:after="0" w:line="240" w:lineRule="auto"/>
      </w:pPr>
      <w:r>
        <w:continuationSeparator/>
      </w:r>
    </w:p>
  </w:footnote>
  <w:footnote w:id="1">
    <w:p w14:paraId="7E7C3CDF" w14:textId="79A3E5A3" w:rsidR="00F91553" w:rsidRDefault="00F91553">
      <w:pPr>
        <w:pStyle w:val="FootnoteText"/>
      </w:pPr>
      <w:r>
        <w:rPr>
          <w:rStyle w:val="FootnoteReference"/>
        </w:rPr>
        <w:footnoteRef/>
      </w:r>
      <w:r>
        <w:t xml:space="preserve"> </w:t>
      </w:r>
      <w:proofErr w:type="spellStart"/>
      <w:r w:rsidRPr="00F91553">
        <w:t>Panchächär</w:t>
      </w:r>
      <w:proofErr w:type="spellEnd"/>
      <w:r w:rsidRPr="00F91553">
        <w:t xml:space="preserve"> Sutra</w:t>
      </w:r>
    </w:p>
  </w:footnote>
  <w:footnote w:id="2">
    <w:p w14:paraId="0450F2A8" w14:textId="3B44FCA8" w:rsidR="00F91553" w:rsidRDefault="00F91553">
      <w:pPr>
        <w:pStyle w:val="FootnoteText"/>
      </w:pPr>
      <w:r>
        <w:rPr>
          <w:rStyle w:val="FootnoteReference"/>
        </w:rPr>
        <w:footnoteRef/>
      </w:r>
      <w:proofErr w:type="spellStart"/>
      <w:r w:rsidRPr="00F91553">
        <w:t>Haribhadra</w:t>
      </w:r>
      <w:proofErr w:type="spellEnd"/>
      <w:r w:rsidRPr="00F91553">
        <w:t xml:space="preserve">, </w:t>
      </w:r>
      <w:proofErr w:type="spellStart"/>
      <w:r w:rsidRPr="00CB4C2E">
        <w:t>Ṣa</w:t>
      </w:r>
      <w:r w:rsidRPr="00CB4C2E">
        <w:rPr>
          <w:rFonts w:ascii="Calibri" w:hAnsi="Calibri" w:cs="Calibri"/>
        </w:rPr>
        <w:t>ḍ</w:t>
      </w:r>
      <w:r w:rsidRPr="00CB4C2E">
        <w:t>darśanasamuccaya</w:t>
      </w:r>
      <w:proofErr w:type="spellEnd"/>
      <w:r w:rsidRPr="00F91553">
        <w:t> v.</w:t>
      </w:r>
      <w:r w:rsidRPr="00F91553">
        <w:rPr>
          <w:rFonts w:ascii="Arial" w:hAnsi="Arial" w:cs="Arial"/>
        </w:rPr>
        <w:t> </w:t>
      </w:r>
      <w:r w:rsidRPr="00F91553">
        <w:t>56.</w:t>
      </w:r>
      <w:r>
        <w:t xml:space="preserve"> </w:t>
      </w:r>
    </w:p>
  </w:footnote>
  <w:footnote w:id="3">
    <w:p w14:paraId="6C48448B" w14:textId="77777777" w:rsidR="00CB4C2E" w:rsidRPr="00CB4C2E" w:rsidRDefault="00F91553" w:rsidP="00CB4C2E">
      <w:pPr>
        <w:pStyle w:val="FootnoteText"/>
      </w:pPr>
      <w:r>
        <w:rPr>
          <w:rStyle w:val="FootnoteReference"/>
        </w:rPr>
        <w:footnoteRef/>
      </w:r>
      <w:r>
        <w:t xml:space="preserve"> </w:t>
      </w:r>
      <w:proofErr w:type="spellStart"/>
      <w:r w:rsidR="00CB4C2E" w:rsidRPr="00CB4C2E">
        <w:t>Umāsvāti</w:t>
      </w:r>
      <w:proofErr w:type="spellEnd"/>
      <w:r w:rsidR="00CB4C2E" w:rsidRPr="00CB4C2E">
        <w:t xml:space="preserve">, </w:t>
      </w:r>
      <w:proofErr w:type="spellStart"/>
      <w:r w:rsidR="00CB4C2E" w:rsidRPr="00003AB4">
        <w:t>Tattvārthasūtra</w:t>
      </w:r>
      <w:proofErr w:type="spellEnd"/>
      <w:r w:rsidR="00CB4C2E" w:rsidRPr="00003AB4">
        <w:t> </w:t>
      </w:r>
      <w:r w:rsidR="00CB4C2E" w:rsidRPr="00CB4C2E">
        <w:t xml:space="preserve">1.1; cf. </w:t>
      </w:r>
      <w:proofErr w:type="spellStart"/>
      <w:r w:rsidR="00CB4C2E" w:rsidRPr="00CB4C2E">
        <w:t>Kā</w:t>
      </w:r>
      <w:r w:rsidR="00CB4C2E" w:rsidRPr="00CB4C2E">
        <w:rPr>
          <w:rFonts w:ascii="Calibri" w:hAnsi="Calibri" w:cs="Calibri"/>
        </w:rPr>
        <w:t>ṇ</w:t>
      </w:r>
      <w:r w:rsidR="00CB4C2E" w:rsidRPr="00CB4C2E">
        <w:t>ādasāgara’s</w:t>
      </w:r>
      <w:proofErr w:type="spellEnd"/>
      <w:r w:rsidR="00CB4C2E" w:rsidRPr="00CB4C2E">
        <w:t xml:space="preserve"> </w:t>
      </w:r>
      <w:proofErr w:type="spellStart"/>
      <w:r w:rsidR="00CB4C2E" w:rsidRPr="00CB4C2E">
        <w:rPr>
          <w:i/>
          <w:iCs/>
        </w:rPr>
        <w:t>Dharmasa</w:t>
      </w:r>
      <w:r w:rsidR="00CB4C2E" w:rsidRPr="00CB4C2E">
        <w:rPr>
          <w:rFonts w:ascii="Calibri" w:hAnsi="Calibri" w:cs="Calibri"/>
          <w:i/>
          <w:iCs/>
        </w:rPr>
        <w:t>ṅ</w:t>
      </w:r>
      <w:r w:rsidR="00CB4C2E" w:rsidRPr="00CB4C2E">
        <w:rPr>
          <w:i/>
          <w:iCs/>
        </w:rPr>
        <w:t>graha</w:t>
      </w:r>
      <w:proofErr w:type="spellEnd"/>
      <w:r w:rsidR="00CB4C2E" w:rsidRPr="00CB4C2E">
        <w:t xml:space="preserve"> 2.3.</w:t>
      </w:r>
    </w:p>
    <w:p w14:paraId="2A83ABC9" w14:textId="2B7A68B5" w:rsidR="00F91553" w:rsidRDefault="00F91553">
      <w:pPr>
        <w:pStyle w:val="FootnoteText"/>
      </w:pPr>
    </w:p>
  </w:footnote>
  <w:footnote w:id="4">
    <w:p w14:paraId="728EB8D5" w14:textId="7A655480" w:rsidR="00CB4C2E" w:rsidRDefault="00CB4C2E">
      <w:pPr>
        <w:pStyle w:val="FootnoteText"/>
      </w:pPr>
      <w:r>
        <w:rPr>
          <w:rStyle w:val="FootnoteReference"/>
        </w:rPr>
        <w:footnoteRef/>
      </w:r>
      <w:r>
        <w:t xml:space="preserve"> </w:t>
      </w:r>
      <w:proofErr w:type="spellStart"/>
      <w:r w:rsidRPr="00CB4C2E">
        <w:t>Uttarādhyayanasūtra</w:t>
      </w:r>
      <w:proofErr w:type="spellEnd"/>
      <w:r w:rsidRPr="00CB4C2E">
        <w:t xml:space="preserve"> 29.25–31; </w:t>
      </w:r>
      <w:proofErr w:type="spellStart"/>
      <w:r w:rsidRPr="00CB4C2E">
        <w:t>Nemichandra</w:t>
      </w:r>
      <w:proofErr w:type="spellEnd"/>
      <w:r w:rsidRPr="00CB4C2E">
        <w:t xml:space="preserve">, </w:t>
      </w:r>
      <w:proofErr w:type="spellStart"/>
      <w:r w:rsidRPr="00CB4C2E">
        <w:t>Gommatasāra</w:t>
      </w:r>
      <w:proofErr w:type="spellEnd"/>
      <w:r w:rsidRPr="00CB4C2E">
        <w:t> </w:t>
      </w:r>
      <w:proofErr w:type="spellStart"/>
      <w:r w:rsidRPr="00CB4C2E">
        <w:t>Jīvakā</w:t>
      </w:r>
      <w:r w:rsidRPr="00CB4C2E">
        <w:rPr>
          <w:rFonts w:ascii="Calibri" w:hAnsi="Calibri" w:cs="Calibri"/>
        </w:rPr>
        <w:t>ṇḍ</w:t>
      </w:r>
      <w:r w:rsidRPr="00CB4C2E">
        <w:t>a</w:t>
      </w:r>
      <w:proofErr w:type="spellEnd"/>
      <w:r w:rsidRPr="00CB4C2E">
        <w:t> 937–51.</w:t>
      </w:r>
    </w:p>
  </w:footnote>
  <w:footnote w:id="5">
    <w:p w14:paraId="75181249" w14:textId="1C67B9AC" w:rsidR="00CB4C2E" w:rsidRDefault="00CB4C2E">
      <w:pPr>
        <w:pStyle w:val="FootnoteText"/>
      </w:pPr>
      <w:r>
        <w:rPr>
          <w:rStyle w:val="FootnoteReference"/>
        </w:rPr>
        <w:footnoteRef/>
      </w:r>
      <w:r>
        <w:t xml:space="preserve"> J</w:t>
      </w:r>
      <w:r w:rsidRPr="00CB4C2E">
        <w:t>aini, Path of Purification, 231–45.</w:t>
      </w:r>
    </w:p>
  </w:footnote>
  <w:footnote w:id="6">
    <w:p w14:paraId="5C788377" w14:textId="77777777" w:rsidR="00CB4C2E" w:rsidRPr="00CB4C2E" w:rsidRDefault="00CB4C2E" w:rsidP="00CB4C2E">
      <w:pPr>
        <w:pStyle w:val="FootnoteText"/>
      </w:pPr>
      <w:r>
        <w:rPr>
          <w:rStyle w:val="FootnoteReference"/>
        </w:rPr>
        <w:footnoteRef/>
      </w:r>
      <w:r>
        <w:t xml:space="preserve"> </w:t>
      </w:r>
      <w:proofErr w:type="spellStart"/>
      <w:r w:rsidRPr="00CB4C2E">
        <w:t>Pañcācārasūtra</w:t>
      </w:r>
      <w:proofErr w:type="spellEnd"/>
      <w:r w:rsidRPr="00CB4C2E">
        <w:t> v.</w:t>
      </w:r>
      <w:r w:rsidRPr="00CB4C2E">
        <w:rPr>
          <w:rFonts w:ascii="Arial" w:hAnsi="Arial" w:cs="Arial"/>
        </w:rPr>
        <w:t> </w:t>
      </w:r>
      <w:r w:rsidRPr="00CB4C2E">
        <w:t>1.</w:t>
      </w:r>
    </w:p>
    <w:p w14:paraId="73A4F059" w14:textId="16584300" w:rsidR="00CB4C2E" w:rsidRDefault="00CB4C2E">
      <w:pPr>
        <w:pStyle w:val="FootnoteText"/>
      </w:pPr>
    </w:p>
  </w:footnote>
  <w:footnote w:id="7">
    <w:p w14:paraId="1BE8E069" w14:textId="69C692A7" w:rsidR="004349C6" w:rsidRDefault="004349C6">
      <w:pPr>
        <w:pStyle w:val="FootnoteText"/>
      </w:pPr>
      <w:r>
        <w:rPr>
          <w:rStyle w:val="FootnoteReference"/>
        </w:rPr>
        <w:footnoteRef/>
      </w:r>
      <w:r>
        <w:t xml:space="preserve"> </w:t>
      </w:r>
      <w:proofErr w:type="spellStart"/>
      <w:r w:rsidRPr="004349C6">
        <w:t>Umāsvāti</w:t>
      </w:r>
      <w:proofErr w:type="spellEnd"/>
      <w:r w:rsidRPr="004349C6">
        <w:t xml:space="preserve">, </w:t>
      </w:r>
      <w:proofErr w:type="spellStart"/>
      <w:r w:rsidRPr="004349C6">
        <w:rPr>
          <w:i/>
          <w:iCs/>
        </w:rPr>
        <w:t>Tattvārthasūtra</w:t>
      </w:r>
      <w:proofErr w:type="spellEnd"/>
      <w:r w:rsidRPr="004349C6">
        <w:t> 8.4.</w:t>
      </w:r>
    </w:p>
  </w:footnote>
  <w:footnote w:id="8">
    <w:p w14:paraId="1923EE62" w14:textId="01F4FFDE" w:rsidR="004349C6" w:rsidRDefault="004349C6">
      <w:pPr>
        <w:pStyle w:val="FootnoteText"/>
      </w:pPr>
      <w:r>
        <w:rPr>
          <w:rStyle w:val="FootnoteReference"/>
        </w:rPr>
        <w:footnoteRef/>
      </w:r>
      <w:r>
        <w:t xml:space="preserve"> </w:t>
      </w:r>
      <w:r w:rsidRPr="004349C6">
        <w:t xml:space="preserve">Devendra, “Mnemonic Devices in Jain Monastic Curriculum,” </w:t>
      </w:r>
      <w:r w:rsidRPr="004349C6">
        <w:rPr>
          <w:i/>
          <w:iCs/>
        </w:rPr>
        <w:t>Indo</w:t>
      </w:r>
      <w:r w:rsidRPr="004349C6">
        <w:rPr>
          <w:i/>
          <w:iCs/>
        </w:rPr>
        <w:noBreakHyphen/>
        <w:t>Iranian Journal</w:t>
      </w:r>
      <w:r w:rsidRPr="004349C6">
        <w:t> 64 (2021): 112–45.</w:t>
      </w:r>
    </w:p>
  </w:footnote>
  <w:footnote w:id="9">
    <w:p w14:paraId="5B69179F" w14:textId="6802EABB" w:rsidR="004349C6" w:rsidRDefault="004349C6">
      <w:pPr>
        <w:pStyle w:val="FootnoteText"/>
      </w:pPr>
      <w:r>
        <w:rPr>
          <w:rStyle w:val="FootnoteReference"/>
        </w:rPr>
        <w:footnoteRef/>
      </w:r>
      <w:r>
        <w:t xml:space="preserve"> </w:t>
      </w:r>
      <w:r w:rsidRPr="004349C6">
        <w:t>JAIN</w:t>
      </w:r>
      <w:r w:rsidRPr="004349C6">
        <w:noBreakHyphen/>
      </w:r>
      <w:proofErr w:type="spellStart"/>
      <w:r w:rsidRPr="004349C6">
        <w:t>eLibrary</w:t>
      </w:r>
      <w:proofErr w:type="spellEnd"/>
      <w:r w:rsidRPr="004349C6">
        <w:t xml:space="preserve"> Analytics Report (2023): section 4.</w:t>
      </w:r>
    </w:p>
  </w:footnote>
  <w:footnote w:id="10">
    <w:p w14:paraId="725E9802" w14:textId="77777777" w:rsidR="00600C27" w:rsidRPr="00600C27" w:rsidRDefault="004349C6" w:rsidP="00600C27">
      <w:pPr>
        <w:pStyle w:val="FootnoteText"/>
      </w:pPr>
      <w:r>
        <w:rPr>
          <w:rStyle w:val="FootnoteReference"/>
        </w:rPr>
        <w:footnoteRef/>
      </w:r>
      <w:r>
        <w:t xml:space="preserve"> </w:t>
      </w:r>
      <w:r w:rsidR="00600C27" w:rsidRPr="00600C27">
        <w:t xml:space="preserve">S. Sanghavi, “From Seeing to Being: A Phenomenology of </w:t>
      </w:r>
      <w:proofErr w:type="spellStart"/>
      <w:r w:rsidR="00600C27" w:rsidRPr="00600C27">
        <w:t>Darśana</w:t>
      </w:r>
      <w:proofErr w:type="spellEnd"/>
      <w:r w:rsidR="00600C27" w:rsidRPr="00600C27">
        <w:t>,” Journal of Indian Philosophy 47 (2019): 89–118.</w:t>
      </w:r>
    </w:p>
    <w:p w14:paraId="01131616" w14:textId="31FA69CE" w:rsidR="004349C6" w:rsidRPr="00600C27" w:rsidRDefault="004349C6">
      <w:pPr>
        <w:pStyle w:val="FootnoteText"/>
      </w:pPr>
    </w:p>
  </w:footnote>
  <w:footnote w:id="11">
    <w:p w14:paraId="5F6E8D8B" w14:textId="258EA99F" w:rsidR="00897FA9" w:rsidRDefault="00897FA9">
      <w:pPr>
        <w:pStyle w:val="FootnoteText"/>
      </w:pPr>
      <w:r w:rsidRPr="00897FA9">
        <w:rPr>
          <w:rStyle w:val="FootnoteReference"/>
        </w:rPr>
        <w:footnoteRef/>
      </w:r>
      <w:r w:rsidRPr="00897FA9">
        <w:t xml:space="preserve"> </w:t>
      </w:r>
      <w:proofErr w:type="spellStart"/>
      <w:r w:rsidRPr="00897FA9">
        <w:t>Nandisūtra</w:t>
      </w:r>
      <w:proofErr w:type="spellEnd"/>
      <w:r w:rsidRPr="00897FA9">
        <w:t> </w:t>
      </w:r>
      <w:proofErr w:type="spellStart"/>
      <w:r w:rsidRPr="00897FA9">
        <w:t>gāthā</w:t>
      </w:r>
      <w:proofErr w:type="spellEnd"/>
      <w:r w:rsidRPr="00897FA9">
        <w:t> 142.</w:t>
      </w:r>
    </w:p>
  </w:footnote>
  <w:footnote w:id="12">
    <w:p w14:paraId="4D3644DC" w14:textId="606335DF" w:rsidR="00897FA9" w:rsidRDefault="00897FA9" w:rsidP="00897FA9">
      <w:r>
        <w:rPr>
          <w:rStyle w:val="FootnoteReference"/>
        </w:rPr>
        <w:footnoteRef/>
      </w:r>
      <w:r>
        <w:t xml:space="preserve"> </w:t>
      </w:r>
      <w:r w:rsidRPr="00F91553">
        <w:rPr>
          <w:sz w:val="20"/>
          <w:szCs w:val="20"/>
        </w:rPr>
        <w:t>P. </w:t>
      </w:r>
      <w:proofErr w:type="spellStart"/>
      <w:r w:rsidRPr="00F91553">
        <w:rPr>
          <w:sz w:val="20"/>
          <w:szCs w:val="20"/>
        </w:rPr>
        <w:t>Flügel</w:t>
      </w:r>
      <w:proofErr w:type="spellEnd"/>
      <w:r w:rsidRPr="00F91553">
        <w:rPr>
          <w:sz w:val="20"/>
          <w:szCs w:val="20"/>
        </w:rPr>
        <w:t>, “The Jains of London,” 812.</w:t>
      </w:r>
    </w:p>
  </w:footnote>
  <w:footnote w:id="13">
    <w:p w14:paraId="3C94FAB9" w14:textId="77777777" w:rsidR="00897FA9" w:rsidRPr="00897FA9" w:rsidRDefault="00897FA9" w:rsidP="00897FA9">
      <w:pPr>
        <w:pStyle w:val="FootnoteText"/>
      </w:pPr>
      <w:r>
        <w:rPr>
          <w:rStyle w:val="FootnoteReference"/>
        </w:rPr>
        <w:footnoteRef/>
      </w:r>
      <w:r>
        <w:t xml:space="preserve"> </w:t>
      </w:r>
      <w:proofErr w:type="spellStart"/>
      <w:r w:rsidRPr="00897FA9">
        <w:t>Daśavaikālika</w:t>
      </w:r>
      <w:r w:rsidRPr="00897FA9">
        <w:noBreakHyphen/>
        <w:t>niryukti</w:t>
      </w:r>
      <w:proofErr w:type="spellEnd"/>
      <w:r w:rsidRPr="00897FA9">
        <w:t> 897–912.</w:t>
      </w:r>
    </w:p>
    <w:p w14:paraId="30DE8E9B" w14:textId="3A6366EC" w:rsidR="00897FA9" w:rsidRDefault="00897FA9">
      <w:pPr>
        <w:pStyle w:val="FootnoteText"/>
      </w:pPr>
    </w:p>
  </w:footnote>
  <w:footnote w:id="14">
    <w:p w14:paraId="769204E8" w14:textId="3AF40EED" w:rsidR="00897FA9" w:rsidRDefault="00897FA9">
      <w:pPr>
        <w:pStyle w:val="FootnoteText"/>
      </w:pPr>
      <w:r>
        <w:rPr>
          <w:rStyle w:val="FootnoteReference"/>
        </w:rPr>
        <w:footnoteRef/>
      </w:r>
      <w:r>
        <w:t xml:space="preserve"> </w:t>
      </w:r>
      <w:r w:rsidR="0084639F" w:rsidRPr="0084639F">
        <w:t>Amrita Basu, “Mindfulness and Moral Agency: A Jain</w:t>
      </w:r>
      <w:r w:rsidR="0084639F" w:rsidRPr="0084639F">
        <w:noBreakHyphen/>
        <w:t xml:space="preserve">CBT Dialogue,” </w:t>
      </w:r>
      <w:r w:rsidR="0084639F" w:rsidRPr="0084639F">
        <w:rPr>
          <w:i/>
          <w:iCs/>
        </w:rPr>
        <w:t>Ethics &amp; Behavior</w:t>
      </w:r>
      <w:r w:rsidR="0084639F" w:rsidRPr="0084639F">
        <w:t> 30 (2020): 142–59.</w:t>
      </w:r>
    </w:p>
  </w:footnote>
  <w:footnote w:id="15">
    <w:p w14:paraId="61E769E0" w14:textId="3FED7A88" w:rsidR="0084639F" w:rsidRDefault="0084639F">
      <w:pPr>
        <w:pStyle w:val="FootnoteText"/>
      </w:pPr>
      <w:r>
        <w:rPr>
          <w:rStyle w:val="FootnoteReference"/>
        </w:rPr>
        <w:footnoteRef/>
      </w:r>
      <w:r>
        <w:t xml:space="preserve"> </w:t>
      </w:r>
      <w:r w:rsidRPr="0084639F">
        <w:t>Nilesh Shah, “Non</w:t>
      </w:r>
      <w:r w:rsidRPr="0084639F">
        <w:noBreakHyphen/>
        <w:t xml:space="preserve">Violence in the Digital Age,” </w:t>
      </w:r>
      <w:r w:rsidRPr="0084639F">
        <w:rPr>
          <w:i/>
          <w:iCs/>
        </w:rPr>
        <w:t>Studies in Jaina Culture</w:t>
      </w:r>
      <w:r w:rsidRPr="0084639F">
        <w:t> 8 (2022): 55–77.</w:t>
      </w:r>
    </w:p>
  </w:footnote>
  <w:footnote w:id="16">
    <w:p w14:paraId="4E99BB60" w14:textId="30606BEB" w:rsidR="0084639F" w:rsidRPr="0084639F" w:rsidRDefault="0084639F" w:rsidP="0084639F">
      <w:pPr>
        <w:pStyle w:val="FootnoteText"/>
      </w:pPr>
      <w:r>
        <w:rPr>
          <w:rStyle w:val="FootnoteReference"/>
        </w:rPr>
        <w:footnoteRef/>
      </w:r>
      <w:r>
        <w:t xml:space="preserve"> </w:t>
      </w:r>
      <w:r w:rsidR="004B188D" w:rsidRPr="004B188D">
        <w:t>Ācārā</w:t>
      </w:r>
      <w:r w:rsidR="004B188D" w:rsidRPr="004B188D">
        <w:rPr>
          <w:rFonts w:ascii="Calibri" w:hAnsi="Calibri" w:cs="Calibri"/>
        </w:rPr>
        <w:t>ṅ</w:t>
      </w:r>
      <w:r w:rsidR="004B188D" w:rsidRPr="004B188D">
        <w:t xml:space="preserve">ga </w:t>
      </w:r>
      <w:proofErr w:type="spellStart"/>
      <w:r w:rsidR="004B188D" w:rsidRPr="004B188D">
        <w:t>Sūtra</w:t>
      </w:r>
      <w:proofErr w:type="spellEnd"/>
    </w:p>
    <w:p w14:paraId="69960492" w14:textId="7AB633F4" w:rsidR="0084639F" w:rsidRDefault="0084639F">
      <w:pPr>
        <w:pStyle w:val="FootnoteText"/>
      </w:pPr>
    </w:p>
  </w:footnote>
  <w:footnote w:id="17">
    <w:p w14:paraId="0D9B89F6" w14:textId="6EE76809" w:rsidR="0084639F" w:rsidRDefault="0084639F">
      <w:pPr>
        <w:pStyle w:val="FootnoteText"/>
      </w:pPr>
      <w:r>
        <w:rPr>
          <w:rStyle w:val="FootnoteReference"/>
        </w:rPr>
        <w:footnoteRef/>
      </w:r>
      <w:r>
        <w:t xml:space="preserve"> </w:t>
      </w:r>
      <w:r w:rsidR="004B188D" w:rsidRPr="004B188D">
        <w:t>S. Gupta et</w:t>
      </w:r>
      <w:r w:rsidR="004B188D" w:rsidRPr="004B188D">
        <w:rPr>
          <w:rFonts w:ascii="Arial" w:hAnsi="Arial" w:cs="Arial"/>
        </w:rPr>
        <w:t> </w:t>
      </w:r>
      <w:r w:rsidR="004B188D" w:rsidRPr="004B188D">
        <w:t xml:space="preserve">al., </w:t>
      </w:r>
      <w:r w:rsidR="004B188D" w:rsidRPr="004B188D">
        <w:rPr>
          <w:rFonts w:ascii="Aptos" w:hAnsi="Aptos" w:cs="Aptos"/>
        </w:rPr>
        <w:t>“</w:t>
      </w:r>
      <w:r w:rsidR="004B188D" w:rsidRPr="004B188D">
        <w:t>Structural Neuroplasticity in Long</w:t>
      </w:r>
      <w:r w:rsidR="004B188D" w:rsidRPr="004B188D">
        <w:noBreakHyphen/>
        <w:t xml:space="preserve">Term </w:t>
      </w:r>
      <w:proofErr w:type="spellStart"/>
      <w:r w:rsidR="004B188D" w:rsidRPr="004B188D">
        <w:t>Pratikraman</w:t>
      </w:r>
      <w:proofErr w:type="spellEnd"/>
      <w:r w:rsidR="004B188D" w:rsidRPr="004B188D">
        <w:t xml:space="preserve"> Practitioners,</w:t>
      </w:r>
      <w:r w:rsidR="004B188D" w:rsidRPr="004B188D">
        <w:rPr>
          <w:rFonts w:ascii="Aptos" w:hAnsi="Aptos" w:cs="Aptos"/>
        </w:rPr>
        <w:t>”</w:t>
      </w:r>
      <w:r w:rsidR="004B188D" w:rsidRPr="004B188D">
        <w:t xml:space="preserve"> Frontiers in Psychology 12 (2021): art. 643212.</w:t>
      </w:r>
    </w:p>
  </w:footnote>
  <w:footnote w:id="18">
    <w:p w14:paraId="2E3258F6" w14:textId="6C2C1BC7" w:rsidR="0084639F" w:rsidRDefault="0084639F">
      <w:pPr>
        <w:pStyle w:val="FootnoteText"/>
      </w:pPr>
      <w:r>
        <w:rPr>
          <w:rStyle w:val="FootnoteReference"/>
        </w:rPr>
        <w:footnoteRef/>
      </w:r>
      <w:r>
        <w:t xml:space="preserve"> </w:t>
      </w:r>
      <w:r w:rsidR="004B188D" w:rsidRPr="004B188D">
        <w:t>Susan Visvanathan, The Power of Sacrifice (Delhi: OUP, 1998), 67</w:t>
      </w:r>
      <w:r w:rsidR="004B188D" w:rsidRPr="004B188D">
        <w:noBreakHyphen/>
        <w:t>75.</w:t>
      </w:r>
    </w:p>
  </w:footnote>
  <w:footnote w:id="19">
    <w:p w14:paraId="1759CC19" w14:textId="733296C7" w:rsidR="0084639F" w:rsidRDefault="0084639F">
      <w:pPr>
        <w:pStyle w:val="FootnoteText"/>
      </w:pPr>
      <w:r>
        <w:rPr>
          <w:rStyle w:val="FootnoteReference"/>
        </w:rPr>
        <w:footnoteRef/>
      </w:r>
      <w:r w:rsidR="007A1842">
        <w:t xml:space="preserve"> </w:t>
      </w:r>
      <w:proofErr w:type="spellStart"/>
      <w:r w:rsidR="007A1842" w:rsidRPr="007A1842">
        <w:t>Bhagavatī</w:t>
      </w:r>
      <w:r w:rsidR="007A1842" w:rsidRPr="007A1842">
        <w:noBreakHyphen/>
        <w:t>sūtra</w:t>
      </w:r>
      <w:proofErr w:type="spellEnd"/>
      <w:r w:rsidR="007A1842" w:rsidRPr="007A1842">
        <w:t> 15.214.</w:t>
      </w:r>
      <w:r>
        <w:t xml:space="preserve"> </w:t>
      </w:r>
    </w:p>
  </w:footnote>
  <w:footnote w:id="20">
    <w:p w14:paraId="60C1368E" w14:textId="0E046B5E" w:rsidR="0084639F" w:rsidRDefault="0084639F">
      <w:pPr>
        <w:pStyle w:val="FootnoteText"/>
      </w:pPr>
      <w:r>
        <w:rPr>
          <w:rStyle w:val="FootnoteReference"/>
        </w:rPr>
        <w:footnoteRef/>
      </w:r>
      <w:r>
        <w:t xml:space="preserve"> </w:t>
      </w:r>
      <w:r w:rsidR="007A1842" w:rsidRPr="007A1842">
        <w:t>Vijay K. Jain, “Thermodynamics of Karma,” Jain Journal 47 (2013): 23</w:t>
      </w:r>
      <w:r w:rsidR="007A1842" w:rsidRPr="007A1842">
        <w:noBreakHyphen/>
        <w:t>35.</w:t>
      </w:r>
    </w:p>
  </w:footnote>
  <w:footnote w:id="21">
    <w:p w14:paraId="258CB355" w14:textId="77777777" w:rsidR="00C32CC7" w:rsidRPr="00C32CC7" w:rsidRDefault="00C32CC7" w:rsidP="00C32CC7">
      <w:pPr>
        <w:pStyle w:val="FootnoteText"/>
      </w:pPr>
      <w:r>
        <w:rPr>
          <w:rStyle w:val="FootnoteReference"/>
        </w:rPr>
        <w:footnoteRef/>
      </w:r>
      <w:r>
        <w:t xml:space="preserve"> </w:t>
      </w:r>
      <w:r w:rsidRPr="00C32CC7">
        <w:t>Vilas </w:t>
      </w:r>
      <w:proofErr w:type="spellStart"/>
      <w:r w:rsidRPr="00C32CC7">
        <w:t>Sangave</w:t>
      </w:r>
      <w:proofErr w:type="spellEnd"/>
      <w:r w:rsidRPr="00C32CC7">
        <w:t xml:space="preserve">, “The Concept of </w:t>
      </w:r>
      <w:proofErr w:type="spellStart"/>
      <w:r w:rsidRPr="00C32CC7">
        <w:t>Ācāra</w:t>
      </w:r>
      <w:proofErr w:type="spellEnd"/>
      <w:r w:rsidRPr="00C32CC7">
        <w:t xml:space="preserve"> in Jaina Ethics,” Philosophy East and West 19, no.</w:t>
      </w:r>
      <w:r w:rsidRPr="00C32CC7">
        <w:rPr>
          <w:rFonts w:ascii="Arial" w:hAnsi="Arial" w:cs="Arial"/>
        </w:rPr>
        <w:t> </w:t>
      </w:r>
      <w:r w:rsidRPr="00C32CC7">
        <w:t>3</w:t>
      </w:r>
      <w:r w:rsidRPr="00C32CC7">
        <w:rPr>
          <w:rFonts w:ascii="Aptos" w:hAnsi="Aptos" w:cs="Aptos"/>
        </w:rPr>
        <w:t> </w:t>
      </w:r>
      <w:r w:rsidRPr="00C32CC7">
        <w:t>(1969):</w:t>
      </w:r>
      <w:r w:rsidRPr="00C32CC7">
        <w:rPr>
          <w:rFonts w:ascii="Aptos" w:hAnsi="Aptos" w:cs="Aptos"/>
        </w:rPr>
        <w:t> </w:t>
      </w:r>
      <w:r w:rsidRPr="00C32CC7">
        <w:t>257</w:t>
      </w:r>
      <w:r w:rsidRPr="00C32CC7">
        <w:rPr>
          <w:rFonts w:ascii="Aptos" w:hAnsi="Aptos" w:cs="Aptos"/>
        </w:rPr>
        <w:t>–</w:t>
      </w:r>
      <w:r w:rsidRPr="00C32CC7">
        <w:t>65.</w:t>
      </w:r>
    </w:p>
    <w:p w14:paraId="49BA5F66" w14:textId="21C8855E" w:rsidR="00C32CC7" w:rsidRDefault="00C32CC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6A53"/>
    <w:multiLevelType w:val="multilevel"/>
    <w:tmpl w:val="75F24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D27B0C"/>
    <w:multiLevelType w:val="multilevel"/>
    <w:tmpl w:val="BA4A1FC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2D9016A4"/>
    <w:multiLevelType w:val="multilevel"/>
    <w:tmpl w:val="755A8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867570"/>
    <w:multiLevelType w:val="multilevel"/>
    <w:tmpl w:val="203E2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370F1A"/>
    <w:multiLevelType w:val="multilevel"/>
    <w:tmpl w:val="12128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D962E2"/>
    <w:multiLevelType w:val="multilevel"/>
    <w:tmpl w:val="6CC07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4525C8"/>
    <w:multiLevelType w:val="multilevel"/>
    <w:tmpl w:val="5F469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CFB0E84"/>
    <w:multiLevelType w:val="multilevel"/>
    <w:tmpl w:val="10ACD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0140EC"/>
    <w:multiLevelType w:val="multilevel"/>
    <w:tmpl w:val="B72ED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A482B4C"/>
    <w:multiLevelType w:val="multilevel"/>
    <w:tmpl w:val="94CE1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96F69DA"/>
    <w:multiLevelType w:val="multilevel"/>
    <w:tmpl w:val="25C678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AA7191A"/>
    <w:multiLevelType w:val="multilevel"/>
    <w:tmpl w:val="71B0E6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28946534">
    <w:abstractNumId w:val="1"/>
  </w:num>
  <w:num w:numId="2" w16cid:durableId="1269391271">
    <w:abstractNumId w:val="6"/>
  </w:num>
  <w:num w:numId="3" w16cid:durableId="853498279">
    <w:abstractNumId w:val="0"/>
  </w:num>
  <w:num w:numId="4" w16cid:durableId="2011063467">
    <w:abstractNumId w:val="9"/>
  </w:num>
  <w:num w:numId="5" w16cid:durableId="152307403">
    <w:abstractNumId w:val="3"/>
  </w:num>
  <w:num w:numId="6" w16cid:durableId="503669336">
    <w:abstractNumId w:val="5"/>
  </w:num>
  <w:num w:numId="7" w16cid:durableId="124472744">
    <w:abstractNumId w:val="8"/>
  </w:num>
  <w:num w:numId="8" w16cid:durableId="221600296">
    <w:abstractNumId w:val="10"/>
  </w:num>
  <w:num w:numId="9" w16cid:durableId="1323461212">
    <w:abstractNumId w:val="4"/>
  </w:num>
  <w:num w:numId="10" w16cid:durableId="1219131446">
    <w:abstractNumId w:val="7"/>
  </w:num>
  <w:num w:numId="11" w16cid:durableId="149904558">
    <w:abstractNumId w:val="2"/>
  </w:num>
  <w:num w:numId="12" w16cid:durableId="1892973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25E"/>
    <w:rsid w:val="00003AB4"/>
    <w:rsid w:val="00074C6D"/>
    <w:rsid w:val="00170EB9"/>
    <w:rsid w:val="002165D5"/>
    <w:rsid w:val="00431F94"/>
    <w:rsid w:val="004349C6"/>
    <w:rsid w:val="00450031"/>
    <w:rsid w:val="004B188D"/>
    <w:rsid w:val="00600C27"/>
    <w:rsid w:val="007A1842"/>
    <w:rsid w:val="0084639F"/>
    <w:rsid w:val="00897FA9"/>
    <w:rsid w:val="008F7707"/>
    <w:rsid w:val="008F79F6"/>
    <w:rsid w:val="00A30787"/>
    <w:rsid w:val="00B35FD4"/>
    <w:rsid w:val="00B42057"/>
    <w:rsid w:val="00B5725E"/>
    <w:rsid w:val="00C02F73"/>
    <w:rsid w:val="00C32CC7"/>
    <w:rsid w:val="00CB4C2E"/>
    <w:rsid w:val="00EB5027"/>
    <w:rsid w:val="00F91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2D9A7"/>
  <w15:chartTrackingRefBased/>
  <w15:docId w15:val="{2364831B-C1F7-4C65-8688-A9D98B880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72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72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72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72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72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72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72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72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72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2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72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72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72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72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72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72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72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725E"/>
    <w:rPr>
      <w:rFonts w:eastAsiaTheme="majorEastAsia" w:cstheme="majorBidi"/>
      <w:color w:val="272727" w:themeColor="text1" w:themeTint="D8"/>
    </w:rPr>
  </w:style>
  <w:style w:type="paragraph" w:styleId="Title">
    <w:name w:val="Title"/>
    <w:basedOn w:val="Normal"/>
    <w:next w:val="Normal"/>
    <w:link w:val="TitleChar"/>
    <w:uiPriority w:val="10"/>
    <w:qFormat/>
    <w:rsid w:val="00B572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72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72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72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725E"/>
    <w:pPr>
      <w:spacing w:before="160"/>
      <w:jc w:val="center"/>
    </w:pPr>
    <w:rPr>
      <w:i/>
      <w:iCs/>
      <w:color w:val="404040" w:themeColor="text1" w:themeTint="BF"/>
    </w:rPr>
  </w:style>
  <w:style w:type="character" w:customStyle="1" w:styleId="QuoteChar">
    <w:name w:val="Quote Char"/>
    <w:basedOn w:val="DefaultParagraphFont"/>
    <w:link w:val="Quote"/>
    <w:uiPriority w:val="29"/>
    <w:rsid w:val="00B5725E"/>
    <w:rPr>
      <w:i/>
      <w:iCs/>
      <w:color w:val="404040" w:themeColor="text1" w:themeTint="BF"/>
    </w:rPr>
  </w:style>
  <w:style w:type="paragraph" w:styleId="ListParagraph">
    <w:name w:val="List Paragraph"/>
    <w:basedOn w:val="Normal"/>
    <w:uiPriority w:val="34"/>
    <w:qFormat/>
    <w:rsid w:val="00B5725E"/>
    <w:pPr>
      <w:ind w:left="720"/>
      <w:contextualSpacing/>
    </w:pPr>
  </w:style>
  <w:style w:type="character" w:styleId="IntenseEmphasis">
    <w:name w:val="Intense Emphasis"/>
    <w:basedOn w:val="DefaultParagraphFont"/>
    <w:uiPriority w:val="21"/>
    <w:qFormat/>
    <w:rsid w:val="00B5725E"/>
    <w:rPr>
      <w:i/>
      <w:iCs/>
      <w:color w:val="0F4761" w:themeColor="accent1" w:themeShade="BF"/>
    </w:rPr>
  </w:style>
  <w:style w:type="paragraph" w:styleId="IntenseQuote">
    <w:name w:val="Intense Quote"/>
    <w:basedOn w:val="Normal"/>
    <w:next w:val="Normal"/>
    <w:link w:val="IntenseQuoteChar"/>
    <w:uiPriority w:val="30"/>
    <w:qFormat/>
    <w:rsid w:val="00B572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725E"/>
    <w:rPr>
      <w:i/>
      <w:iCs/>
      <w:color w:val="0F4761" w:themeColor="accent1" w:themeShade="BF"/>
    </w:rPr>
  </w:style>
  <w:style w:type="character" w:styleId="IntenseReference">
    <w:name w:val="Intense Reference"/>
    <w:basedOn w:val="DefaultParagraphFont"/>
    <w:uiPriority w:val="32"/>
    <w:qFormat/>
    <w:rsid w:val="00B5725E"/>
    <w:rPr>
      <w:b/>
      <w:bCs/>
      <w:smallCaps/>
      <w:color w:val="0F4761" w:themeColor="accent1" w:themeShade="BF"/>
      <w:spacing w:val="5"/>
    </w:rPr>
  </w:style>
  <w:style w:type="paragraph" w:styleId="FootnoteText">
    <w:name w:val="footnote text"/>
    <w:basedOn w:val="Normal"/>
    <w:link w:val="FootnoteTextChar"/>
    <w:uiPriority w:val="99"/>
    <w:semiHidden/>
    <w:unhideWhenUsed/>
    <w:rsid w:val="00F915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1553"/>
    <w:rPr>
      <w:sz w:val="20"/>
      <w:szCs w:val="20"/>
    </w:rPr>
  </w:style>
  <w:style w:type="character" w:styleId="FootnoteReference">
    <w:name w:val="footnote reference"/>
    <w:basedOn w:val="DefaultParagraphFont"/>
    <w:uiPriority w:val="99"/>
    <w:semiHidden/>
    <w:unhideWhenUsed/>
    <w:rsid w:val="00F91553"/>
    <w:rPr>
      <w:vertAlign w:val="superscript"/>
    </w:rPr>
  </w:style>
  <w:style w:type="paragraph" w:styleId="NormalWeb">
    <w:name w:val="Normal (Web)"/>
    <w:basedOn w:val="Normal"/>
    <w:uiPriority w:val="99"/>
    <w:semiHidden/>
    <w:unhideWhenUsed/>
    <w:rsid w:val="00F91553"/>
    <w:rPr>
      <w:rFonts w:ascii="Times New Roman" w:hAnsi="Times New Roman" w:cs="Times New Roman"/>
    </w:rPr>
  </w:style>
  <w:style w:type="paragraph" w:styleId="EndnoteText">
    <w:name w:val="endnote text"/>
    <w:basedOn w:val="Normal"/>
    <w:link w:val="EndnoteTextChar"/>
    <w:uiPriority w:val="99"/>
    <w:semiHidden/>
    <w:unhideWhenUsed/>
    <w:rsid w:val="0084639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4639F"/>
    <w:rPr>
      <w:sz w:val="20"/>
      <w:szCs w:val="20"/>
    </w:rPr>
  </w:style>
  <w:style w:type="character" w:styleId="EndnoteReference">
    <w:name w:val="endnote reference"/>
    <w:basedOn w:val="DefaultParagraphFont"/>
    <w:uiPriority w:val="99"/>
    <w:semiHidden/>
    <w:unhideWhenUsed/>
    <w:rsid w:val="0084639F"/>
    <w:rPr>
      <w:vertAlign w:val="superscript"/>
    </w:rPr>
  </w:style>
  <w:style w:type="table" w:styleId="TableGrid">
    <w:name w:val="Table Grid"/>
    <w:basedOn w:val="TableNormal"/>
    <w:uiPriority w:val="39"/>
    <w:rsid w:val="00170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170EB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003A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AB4"/>
  </w:style>
  <w:style w:type="paragraph" w:styleId="Footer">
    <w:name w:val="footer"/>
    <w:basedOn w:val="Normal"/>
    <w:link w:val="FooterChar"/>
    <w:uiPriority w:val="99"/>
    <w:unhideWhenUsed/>
    <w:rsid w:val="00003A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A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8429">
      <w:bodyDiv w:val="1"/>
      <w:marLeft w:val="0"/>
      <w:marRight w:val="0"/>
      <w:marTop w:val="0"/>
      <w:marBottom w:val="0"/>
      <w:divBdr>
        <w:top w:val="none" w:sz="0" w:space="0" w:color="auto"/>
        <w:left w:val="none" w:sz="0" w:space="0" w:color="auto"/>
        <w:bottom w:val="none" w:sz="0" w:space="0" w:color="auto"/>
        <w:right w:val="none" w:sz="0" w:space="0" w:color="auto"/>
      </w:divBdr>
    </w:div>
    <w:div w:id="34740122">
      <w:bodyDiv w:val="1"/>
      <w:marLeft w:val="0"/>
      <w:marRight w:val="0"/>
      <w:marTop w:val="0"/>
      <w:marBottom w:val="0"/>
      <w:divBdr>
        <w:top w:val="none" w:sz="0" w:space="0" w:color="auto"/>
        <w:left w:val="none" w:sz="0" w:space="0" w:color="auto"/>
        <w:bottom w:val="none" w:sz="0" w:space="0" w:color="auto"/>
        <w:right w:val="none" w:sz="0" w:space="0" w:color="auto"/>
      </w:divBdr>
    </w:div>
    <w:div w:id="68231160">
      <w:bodyDiv w:val="1"/>
      <w:marLeft w:val="0"/>
      <w:marRight w:val="0"/>
      <w:marTop w:val="0"/>
      <w:marBottom w:val="0"/>
      <w:divBdr>
        <w:top w:val="none" w:sz="0" w:space="0" w:color="auto"/>
        <w:left w:val="none" w:sz="0" w:space="0" w:color="auto"/>
        <w:bottom w:val="none" w:sz="0" w:space="0" w:color="auto"/>
        <w:right w:val="none" w:sz="0" w:space="0" w:color="auto"/>
      </w:divBdr>
    </w:div>
    <w:div w:id="70280621">
      <w:bodyDiv w:val="1"/>
      <w:marLeft w:val="0"/>
      <w:marRight w:val="0"/>
      <w:marTop w:val="0"/>
      <w:marBottom w:val="0"/>
      <w:divBdr>
        <w:top w:val="none" w:sz="0" w:space="0" w:color="auto"/>
        <w:left w:val="none" w:sz="0" w:space="0" w:color="auto"/>
        <w:bottom w:val="none" w:sz="0" w:space="0" w:color="auto"/>
        <w:right w:val="none" w:sz="0" w:space="0" w:color="auto"/>
      </w:divBdr>
    </w:div>
    <w:div w:id="131019022">
      <w:bodyDiv w:val="1"/>
      <w:marLeft w:val="0"/>
      <w:marRight w:val="0"/>
      <w:marTop w:val="0"/>
      <w:marBottom w:val="0"/>
      <w:divBdr>
        <w:top w:val="none" w:sz="0" w:space="0" w:color="auto"/>
        <w:left w:val="none" w:sz="0" w:space="0" w:color="auto"/>
        <w:bottom w:val="none" w:sz="0" w:space="0" w:color="auto"/>
        <w:right w:val="none" w:sz="0" w:space="0" w:color="auto"/>
      </w:divBdr>
    </w:div>
    <w:div w:id="154106088">
      <w:bodyDiv w:val="1"/>
      <w:marLeft w:val="0"/>
      <w:marRight w:val="0"/>
      <w:marTop w:val="0"/>
      <w:marBottom w:val="0"/>
      <w:divBdr>
        <w:top w:val="none" w:sz="0" w:space="0" w:color="auto"/>
        <w:left w:val="none" w:sz="0" w:space="0" w:color="auto"/>
        <w:bottom w:val="none" w:sz="0" w:space="0" w:color="auto"/>
        <w:right w:val="none" w:sz="0" w:space="0" w:color="auto"/>
      </w:divBdr>
    </w:div>
    <w:div w:id="170607380">
      <w:bodyDiv w:val="1"/>
      <w:marLeft w:val="0"/>
      <w:marRight w:val="0"/>
      <w:marTop w:val="0"/>
      <w:marBottom w:val="0"/>
      <w:divBdr>
        <w:top w:val="none" w:sz="0" w:space="0" w:color="auto"/>
        <w:left w:val="none" w:sz="0" w:space="0" w:color="auto"/>
        <w:bottom w:val="none" w:sz="0" w:space="0" w:color="auto"/>
        <w:right w:val="none" w:sz="0" w:space="0" w:color="auto"/>
      </w:divBdr>
    </w:div>
    <w:div w:id="170796413">
      <w:bodyDiv w:val="1"/>
      <w:marLeft w:val="0"/>
      <w:marRight w:val="0"/>
      <w:marTop w:val="0"/>
      <w:marBottom w:val="0"/>
      <w:divBdr>
        <w:top w:val="none" w:sz="0" w:space="0" w:color="auto"/>
        <w:left w:val="none" w:sz="0" w:space="0" w:color="auto"/>
        <w:bottom w:val="none" w:sz="0" w:space="0" w:color="auto"/>
        <w:right w:val="none" w:sz="0" w:space="0" w:color="auto"/>
      </w:divBdr>
    </w:div>
    <w:div w:id="200829315">
      <w:bodyDiv w:val="1"/>
      <w:marLeft w:val="0"/>
      <w:marRight w:val="0"/>
      <w:marTop w:val="0"/>
      <w:marBottom w:val="0"/>
      <w:divBdr>
        <w:top w:val="none" w:sz="0" w:space="0" w:color="auto"/>
        <w:left w:val="none" w:sz="0" w:space="0" w:color="auto"/>
        <w:bottom w:val="none" w:sz="0" w:space="0" w:color="auto"/>
        <w:right w:val="none" w:sz="0" w:space="0" w:color="auto"/>
      </w:divBdr>
    </w:div>
    <w:div w:id="305285163">
      <w:bodyDiv w:val="1"/>
      <w:marLeft w:val="0"/>
      <w:marRight w:val="0"/>
      <w:marTop w:val="0"/>
      <w:marBottom w:val="0"/>
      <w:divBdr>
        <w:top w:val="none" w:sz="0" w:space="0" w:color="auto"/>
        <w:left w:val="none" w:sz="0" w:space="0" w:color="auto"/>
        <w:bottom w:val="none" w:sz="0" w:space="0" w:color="auto"/>
        <w:right w:val="none" w:sz="0" w:space="0" w:color="auto"/>
      </w:divBdr>
    </w:div>
    <w:div w:id="312490934">
      <w:bodyDiv w:val="1"/>
      <w:marLeft w:val="0"/>
      <w:marRight w:val="0"/>
      <w:marTop w:val="0"/>
      <w:marBottom w:val="0"/>
      <w:divBdr>
        <w:top w:val="none" w:sz="0" w:space="0" w:color="auto"/>
        <w:left w:val="none" w:sz="0" w:space="0" w:color="auto"/>
        <w:bottom w:val="none" w:sz="0" w:space="0" w:color="auto"/>
        <w:right w:val="none" w:sz="0" w:space="0" w:color="auto"/>
      </w:divBdr>
    </w:div>
    <w:div w:id="329211868">
      <w:bodyDiv w:val="1"/>
      <w:marLeft w:val="0"/>
      <w:marRight w:val="0"/>
      <w:marTop w:val="0"/>
      <w:marBottom w:val="0"/>
      <w:divBdr>
        <w:top w:val="none" w:sz="0" w:space="0" w:color="auto"/>
        <w:left w:val="none" w:sz="0" w:space="0" w:color="auto"/>
        <w:bottom w:val="none" w:sz="0" w:space="0" w:color="auto"/>
        <w:right w:val="none" w:sz="0" w:space="0" w:color="auto"/>
      </w:divBdr>
    </w:div>
    <w:div w:id="473256812">
      <w:bodyDiv w:val="1"/>
      <w:marLeft w:val="0"/>
      <w:marRight w:val="0"/>
      <w:marTop w:val="0"/>
      <w:marBottom w:val="0"/>
      <w:divBdr>
        <w:top w:val="none" w:sz="0" w:space="0" w:color="auto"/>
        <w:left w:val="none" w:sz="0" w:space="0" w:color="auto"/>
        <w:bottom w:val="none" w:sz="0" w:space="0" w:color="auto"/>
        <w:right w:val="none" w:sz="0" w:space="0" w:color="auto"/>
      </w:divBdr>
    </w:div>
    <w:div w:id="597253229">
      <w:bodyDiv w:val="1"/>
      <w:marLeft w:val="0"/>
      <w:marRight w:val="0"/>
      <w:marTop w:val="0"/>
      <w:marBottom w:val="0"/>
      <w:divBdr>
        <w:top w:val="none" w:sz="0" w:space="0" w:color="auto"/>
        <w:left w:val="none" w:sz="0" w:space="0" w:color="auto"/>
        <w:bottom w:val="none" w:sz="0" w:space="0" w:color="auto"/>
        <w:right w:val="none" w:sz="0" w:space="0" w:color="auto"/>
      </w:divBdr>
    </w:div>
    <w:div w:id="627855710">
      <w:bodyDiv w:val="1"/>
      <w:marLeft w:val="0"/>
      <w:marRight w:val="0"/>
      <w:marTop w:val="0"/>
      <w:marBottom w:val="0"/>
      <w:divBdr>
        <w:top w:val="none" w:sz="0" w:space="0" w:color="auto"/>
        <w:left w:val="none" w:sz="0" w:space="0" w:color="auto"/>
        <w:bottom w:val="none" w:sz="0" w:space="0" w:color="auto"/>
        <w:right w:val="none" w:sz="0" w:space="0" w:color="auto"/>
      </w:divBdr>
    </w:div>
    <w:div w:id="666131526">
      <w:bodyDiv w:val="1"/>
      <w:marLeft w:val="0"/>
      <w:marRight w:val="0"/>
      <w:marTop w:val="0"/>
      <w:marBottom w:val="0"/>
      <w:divBdr>
        <w:top w:val="none" w:sz="0" w:space="0" w:color="auto"/>
        <w:left w:val="none" w:sz="0" w:space="0" w:color="auto"/>
        <w:bottom w:val="none" w:sz="0" w:space="0" w:color="auto"/>
        <w:right w:val="none" w:sz="0" w:space="0" w:color="auto"/>
      </w:divBdr>
    </w:div>
    <w:div w:id="683896354">
      <w:bodyDiv w:val="1"/>
      <w:marLeft w:val="0"/>
      <w:marRight w:val="0"/>
      <w:marTop w:val="0"/>
      <w:marBottom w:val="0"/>
      <w:divBdr>
        <w:top w:val="none" w:sz="0" w:space="0" w:color="auto"/>
        <w:left w:val="none" w:sz="0" w:space="0" w:color="auto"/>
        <w:bottom w:val="none" w:sz="0" w:space="0" w:color="auto"/>
        <w:right w:val="none" w:sz="0" w:space="0" w:color="auto"/>
      </w:divBdr>
    </w:div>
    <w:div w:id="756635015">
      <w:bodyDiv w:val="1"/>
      <w:marLeft w:val="0"/>
      <w:marRight w:val="0"/>
      <w:marTop w:val="0"/>
      <w:marBottom w:val="0"/>
      <w:divBdr>
        <w:top w:val="none" w:sz="0" w:space="0" w:color="auto"/>
        <w:left w:val="none" w:sz="0" w:space="0" w:color="auto"/>
        <w:bottom w:val="none" w:sz="0" w:space="0" w:color="auto"/>
        <w:right w:val="none" w:sz="0" w:space="0" w:color="auto"/>
      </w:divBdr>
      <w:divsChild>
        <w:div w:id="905918426">
          <w:blockQuote w:val="1"/>
          <w:marLeft w:val="720"/>
          <w:marRight w:val="720"/>
          <w:marTop w:val="100"/>
          <w:marBottom w:val="100"/>
          <w:divBdr>
            <w:top w:val="none" w:sz="0" w:space="0" w:color="auto"/>
            <w:left w:val="none" w:sz="0" w:space="0" w:color="auto"/>
            <w:bottom w:val="none" w:sz="0" w:space="0" w:color="auto"/>
            <w:right w:val="none" w:sz="0" w:space="0" w:color="auto"/>
          </w:divBdr>
        </w:div>
        <w:div w:id="800344642">
          <w:marLeft w:val="0"/>
          <w:marRight w:val="0"/>
          <w:marTop w:val="0"/>
          <w:marBottom w:val="0"/>
          <w:divBdr>
            <w:top w:val="none" w:sz="0" w:space="0" w:color="auto"/>
            <w:left w:val="none" w:sz="0" w:space="0" w:color="auto"/>
            <w:bottom w:val="none" w:sz="0" w:space="0" w:color="auto"/>
            <w:right w:val="none" w:sz="0" w:space="0" w:color="auto"/>
          </w:divBdr>
        </w:div>
        <w:div w:id="767963104">
          <w:marLeft w:val="0"/>
          <w:marRight w:val="0"/>
          <w:marTop w:val="0"/>
          <w:marBottom w:val="0"/>
          <w:divBdr>
            <w:top w:val="none" w:sz="0" w:space="0" w:color="auto"/>
            <w:left w:val="none" w:sz="0" w:space="0" w:color="auto"/>
            <w:bottom w:val="none" w:sz="0" w:space="0" w:color="auto"/>
            <w:right w:val="none" w:sz="0" w:space="0" w:color="auto"/>
          </w:divBdr>
        </w:div>
        <w:div w:id="1332871280">
          <w:marLeft w:val="0"/>
          <w:marRight w:val="0"/>
          <w:marTop w:val="0"/>
          <w:marBottom w:val="0"/>
          <w:divBdr>
            <w:top w:val="none" w:sz="0" w:space="0" w:color="auto"/>
            <w:left w:val="none" w:sz="0" w:space="0" w:color="auto"/>
            <w:bottom w:val="none" w:sz="0" w:space="0" w:color="auto"/>
            <w:right w:val="none" w:sz="0" w:space="0" w:color="auto"/>
          </w:divBdr>
        </w:div>
        <w:div w:id="2055931246">
          <w:marLeft w:val="0"/>
          <w:marRight w:val="0"/>
          <w:marTop w:val="0"/>
          <w:marBottom w:val="0"/>
          <w:divBdr>
            <w:top w:val="none" w:sz="0" w:space="0" w:color="auto"/>
            <w:left w:val="none" w:sz="0" w:space="0" w:color="auto"/>
            <w:bottom w:val="none" w:sz="0" w:space="0" w:color="auto"/>
            <w:right w:val="none" w:sz="0" w:space="0" w:color="auto"/>
          </w:divBdr>
        </w:div>
        <w:div w:id="653608469">
          <w:marLeft w:val="0"/>
          <w:marRight w:val="0"/>
          <w:marTop w:val="0"/>
          <w:marBottom w:val="0"/>
          <w:divBdr>
            <w:top w:val="none" w:sz="0" w:space="0" w:color="auto"/>
            <w:left w:val="none" w:sz="0" w:space="0" w:color="auto"/>
            <w:bottom w:val="none" w:sz="0" w:space="0" w:color="auto"/>
            <w:right w:val="none" w:sz="0" w:space="0" w:color="auto"/>
          </w:divBdr>
        </w:div>
        <w:div w:id="1009024685">
          <w:marLeft w:val="0"/>
          <w:marRight w:val="0"/>
          <w:marTop w:val="0"/>
          <w:marBottom w:val="0"/>
          <w:divBdr>
            <w:top w:val="none" w:sz="0" w:space="0" w:color="auto"/>
            <w:left w:val="none" w:sz="0" w:space="0" w:color="auto"/>
            <w:bottom w:val="none" w:sz="0" w:space="0" w:color="auto"/>
            <w:right w:val="none" w:sz="0" w:space="0" w:color="auto"/>
          </w:divBdr>
        </w:div>
        <w:div w:id="1666543930">
          <w:marLeft w:val="0"/>
          <w:marRight w:val="0"/>
          <w:marTop w:val="0"/>
          <w:marBottom w:val="0"/>
          <w:divBdr>
            <w:top w:val="none" w:sz="0" w:space="0" w:color="auto"/>
            <w:left w:val="none" w:sz="0" w:space="0" w:color="auto"/>
            <w:bottom w:val="none" w:sz="0" w:space="0" w:color="auto"/>
            <w:right w:val="none" w:sz="0" w:space="0" w:color="auto"/>
          </w:divBdr>
        </w:div>
        <w:div w:id="1737626083">
          <w:marLeft w:val="0"/>
          <w:marRight w:val="0"/>
          <w:marTop w:val="0"/>
          <w:marBottom w:val="0"/>
          <w:divBdr>
            <w:top w:val="none" w:sz="0" w:space="0" w:color="auto"/>
            <w:left w:val="none" w:sz="0" w:space="0" w:color="auto"/>
            <w:bottom w:val="none" w:sz="0" w:space="0" w:color="auto"/>
            <w:right w:val="none" w:sz="0" w:space="0" w:color="auto"/>
          </w:divBdr>
        </w:div>
      </w:divsChild>
    </w:div>
    <w:div w:id="775253562">
      <w:bodyDiv w:val="1"/>
      <w:marLeft w:val="0"/>
      <w:marRight w:val="0"/>
      <w:marTop w:val="0"/>
      <w:marBottom w:val="0"/>
      <w:divBdr>
        <w:top w:val="none" w:sz="0" w:space="0" w:color="auto"/>
        <w:left w:val="none" w:sz="0" w:space="0" w:color="auto"/>
        <w:bottom w:val="none" w:sz="0" w:space="0" w:color="auto"/>
        <w:right w:val="none" w:sz="0" w:space="0" w:color="auto"/>
      </w:divBdr>
    </w:div>
    <w:div w:id="792527503">
      <w:bodyDiv w:val="1"/>
      <w:marLeft w:val="0"/>
      <w:marRight w:val="0"/>
      <w:marTop w:val="0"/>
      <w:marBottom w:val="0"/>
      <w:divBdr>
        <w:top w:val="none" w:sz="0" w:space="0" w:color="auto"/>
        <w:left w:val="none" w:sz="0" w:space="0" w:color="auto"/>
        <w:bottom w:val="none" w:sz="0" w:space="0" w:color="auto"/>
        <w:right w:val="none" w:sz="0" w:space="0" w:color="auto"/>
      </w:divBdr>
    </w:div>
    <w:div w:id="827749669">
      <w:bodyDiv w:val="1"/>
      <w:marLeft w:val="0"/>
      <w:marRight w:val="0"/>
      <w:marTop w:val="0"/>
      <w:marBottom w:val="0"/>
      <w:divBdr>
        <w:top w:val="none" w:sz="0" w:space="0" w:color="auto"/>
        <w:left w:val="none" w:sz="0" w:space="0" w:color="auto"/>
        <w:bottom w:val="none" w:sz="0" w:space="0" w:color="auto"/>
        <w:right w:val="none" w:sz="0" w:space="0" w:color="auto"/>
      </w:divBdr>
    </w:div>
    <w:div w:id="849950223">
      <w:bodyDiv w:val="1"/>
      <w:marLeft w:val="0"/>
      <w:marRight w:val="0"/>
      <w:marTop w:val="0"/>
      <w:marBottom w:val="0"/>
      <w:divBdr>
        <w:top w:val="none" w:sz="0" w:space="0" w:color="auto"/>
        <w:left w:val="none" w:sz="0" w:space="0" w:color="auto"/>
        <w:bottom w:val="none" w:sz="0" w:space="0" w:color="auto"/>
        <w:right w:val="none" w:sz="0" w:space="0" w:color="auto"/>
      </w:divBdr>
    </w:div>
    <w:div w:id="860973314">
      <w:bodyDiv w:val="1"/>
      <w:marLeft w:val="0"/>
      <w:marRight w:val="0"/>
      <w:marTop w:val="0"/>
      <w:marBottom w:val="0"/>
      <w:divBdr>
        <w:top w:val="none" w:sz="0" w:space="0" w:color="auto"/>
        <w:left w:val="none" w:sz="0" w:space="0" w:color="auto"/>
        <w:bottom w:val="none" w:sz="0" w:space="0" w:color="auto"/>
        <w:right w:val="none" w:sz="0" w:space="0" w:color="auto"/>
      </w:divBdr>
    </w:div>
    <w:div w:id="872041769">
      <w:bodyDiv w:val="1"/>
      <w:marLeft w:val="0"/>
      <w:marRight w:val="0"/>
      <w:marTop w:val="0"/>
      <w:marBottom w:val="0"/>
      <w:divBdr>
        <w:top w:val="none" w:sz="0" w:space="0" w:color="auto"/>
        <w:left w:val="none" w:sz="0" w:space="0" w:color="auto"/>
        <w:bottom w:val="none" w:sz="0" w:space="0" w:color="auto"/>
        <w:right w:val="none" w:sz="0" w:space="0" w:color="auto"/>
      </w:divBdr>
    </w:div>
    <w:div w:id="1058435358">
      <w:bodyDiv w:val="1"/>
      <w:marLeft w:val="0"/>
      <w:marRight w:val="0"/>
      <w:marTop w:val="0"/>
      <w:marBottom w:val="0"/>
      <w:divBdr>
        <w:top w:val="none" w:sz="0" w:space="0" w:color="auto"/>
        <w:left w:val="none" w:sz="0" w:space="0" w:color="auto"/>
        <w:bottom w:val="none" w:sz="0" w:space="0" w:color="auto"/>
        <w:right w:val="none" w:sz="0" w:space="0" w:color="auto"/>
      </w:divBdr>
    </w:div>
    <w:div w:id="1061178524">
      <w:bodyDiv w:val="1"/>
      <w:marLeft w:val="0"/>
      <w:marRight w:val="0"/>
      <w:marTop w:val="0"/>
      <w:marBottom w:val="0"/>
      <w:divBdr>
        <w:top w:val="none" w:sz="0" w:space="0" w:color="auto"/>
        <w:left w:val="none" w:sz="0" w:space="0" w:color="auto"/>
        <w:bottom w:val="none" w:sz="0" w:space="0" w:color="auto"/>
        <w:right w:val="none" w:sz="0" w:space="0" w:color="auto"/>
      </w:divBdr>
    </w:div>
    <w:div w:id="1137453047">
      <w:bodyDiv w:val="1"/>
      <w:marLeft w:val="0"/>
      <w:marRight w:val="0"/>
      <w:marTop w:val="0"/>
      <w:marBottom w:val="0"/>
      <w:divBdr>
        <w:top w:val="none" w:sz="0" w:space="0" w:color="auto"/>
        <w:left w:val="none" w:sz="0" w:space="0" w:color="auto"/>
        <w:bottom w:val="none" w:sz="0" w:space="0" w:color="auto"/>
        <w:right w:val="none" w:sz="0" w:space="0" w:color="auto"/>
      </w:divBdr>
      <w:divsChild>
        <w:div w:id="1785659956">
          <w:marLeft w:val="0"/>
          <w:marRight w:val="0"/>
          <w:marTop w:val="0"/>
          <w:marBottom w:val="0"/>
          <w:divBdr>
            <w:top w:val="none" w:sz="0" w:space="0" w:color="auto"/>
            <w:left w:val="none" w:sz="0" w:space="0" w:color="auto"/>
            <w:bottom w:val="none" w:sz="0" w:space="0" w:color="auto"/>
            <w:right w:val="none" w:sz="0" w:space="0" w:color="auto"/>
          </w:divBdr>
        </w:div>
        <w:div w:id="2144275054">
          <w:marLeft w:val="0"/>
          <w:marRight w:val="0"/>
          <w:marTop w:val="0"/>
          <w:marBottom w:val="0"/>
          <w:divBdr>
            <w:top w:val="none" w:sz="0" w:space="0" w:color="auto"/>
            <w:left w:val="none" w:sz="0" w:space="0" w:color="auto"/>
            <w:bottom w:val="none" w:sz="0" w:space="0" w:color="auto"/>
            <w:right w:val="none" w:sz="0" w:space="0" w:color="auto"/>
          </w:divBdr>
        </w:div>
        <w:div w:id="762071586">
          <w:marLeft w:val="0"/>
          <w:marRight w:val="0"/>
          <w:marTop w:val="0"/>
          <w:marBottom w:val="0"/>
          <w:divBdr>
            <w:top w:val="none" w:sz="0" w:space="0" w:color="auto"/>
            <w:left w:val="none" w:sz="0" w:space="0" w:color="auto"/>
            <w:bottom w:val="none" w:sz="0" w:space="0" w:color="auto"/>
            <w:right w:val="none" w:sz="0" w:space="0" w:color="auto"/>
          </w:divBdr>
        </w:div>
        <w:div w:id="612058490">
          <w:marLeft w:val="0"/>
          <w:marRight w:val="0"/>
          <w:marTop w:val="0"/>
          <w:marBottom w:val="0"/>
          <w:divBdr>
            <w:top w:val="none" w:sz="0" w:space="0" w:color="auto"/>
            <w:left w:val="none" w:sz="0" w:space="0" w:color="auto"/>
            <w:bottom w:val="none" w:sz="0" w:space="0" w:color="auto"/>
            <w:right w:val="none" w:sz="0" w:space="0" w:color="auto"/>
          </w:divBdr>
        </w:div>
        <w:div w:id="1780417145">
          <w:marLeft w:val="0"/>
          <w:marRight w:val="0"/>
          <w:marTop w:val="0"/>
          <w:marBottom w:val="0"/>
          <w:divBdr>
            <w:top w:val="none" w:sz="0" w:space="0" w:color="auto"/>
            <w:left w:val="none" w:sz="0" w:space="0" w:color="auto"/>
            <w:bottom w:val="none" w:sz="0" w:space="0" w:color="auto"/>
            <w:right w:val="none" w:sz="0" w:space="0" w:color="auto"/>
          </w:divBdr>
        </w:div>
        <w:div w:id="1827935841">
          <w:marLeft w:val="0"/>
          <w:marRight w:val="0"/>
          <w:marTop w:val="0"/>
          <w:marBottom w:val="0"/>
          <w:divBdr>
            <w:top w:val="none" w:sz="0" w:space="0" w:color="auto"/>
            <w:left w:val="none" w:sz="0" w:space="0" w:color="auto"/>
            <w:bottom w:val="none" w:sz="0" w:space="0" w:color="auto"/>
            <w:right w:val="none" w:sz="0" w:space="0" w:color="auto"/>
          </w:divBdr>
        </w:div>
        <w:div w:id="558713189">
          <w:marLeft w:val="0"/>
          <w:marRight w:val="0"/>
          <w:marTop w:val="0"/>
          <w:marBottom w:val="0"/>
          <w:divBdr>
            <w:top w:val="none" w:sz="0" w:space="0" w:color="auto"/>
            <w:left w:val="none" w:sz="0" w:space="0" w:color="auto"/>
            <w:bottom w:val="none" w:sz="0" w:space="0" w:color="auto"/>
            <w:right w:val="none" w:sz="0" w:space="0" w:color="auto"/>
          </w:divBdr>
        </w:div>
        <w:div w:id="1453282452">
          <w:marLeft w:val="0"/>
          <w:marRight w:val="0"/>
          <w:marTop w:val="0"/>
          <w:marBottom w:val="0"/>
          <w:divBdr>
            <w:top w:val="none" w:sz="0" w:space="0" w:color="auto"/>
            <w:left w:val="none" w:sz="0" w:space="0" w:color="auto"/>
            <w:bottom w:val="none" w:sz="0" w:space="0" w:color="auto"/>
            <w:right w:val="none" w:sz="0" w:space="0" w:color="auto"/>
          </w:divBdr>
        </w:div>
        <w:div w:id="1278179126">
          <w:marLeft w:val="0"/>
          <w:marRight w:val="0"/>
          <w:marTop w:val="0"/>
          <w:marBottom w:val="0"/>
          <w:divBdr>
            <w:top w:val="none" w:sz="0" w:space="0" w:color="auto"/>
            <w:left w:val="none" w:sz="0" w:space="0" w:color="auto"/>
            <w:bottom w:val="none" w:sz="0" w:space="0" w:color="auto"/>
            <w:right w:val="none" w:sz="0" w:space="0" w:color="auto"/>
          </w:divBdr>
        </w:div>
        <w:div w:id="2055889763">
          <w:marLeft w:val="0"/>
          <w:marRight w:val="0"/>
          <w:marTop w:val="0"/>
          <w:marBottom w:val="0"/>
          <w:divBdr>
            <w:top w:val="none" w:sz="0" w:space="0" w:color="auto"/>
            <w:left w:val="none" w:sz="0" w:space="0" w:color="auto"/>
            <w:bottom w:val="none" w:sz="0" w:space="0" w:color="auto"/>
            <w:right w:val="none" w:sz="0" w:space="0" w:color="auto"/>
          </w:divBdr>
        </w:div>
        <w:div w:id="2041123900">
          <w:marLeft w:val="0"/>
          <w:marRight w:val="0"/>
          <w:marTop w:val="0"/>
          <w:marBottom w:val="0"/>
          <w:divBdr>
            <w:top w:val="none" w:sz="0" w:space="0" w:color="auto"/>
            <w:left w:val="none" w:sz="0" w:space="0" w:color="auto"/>
            <w:bottom w:val="none" w:sz="0" w:space="0" w:color="auto"/>
            <w:right w:val="none" w:sz="0" w:space="0" w:color="auto"/>
          </w:divBdr>
        </w:div>
      </w:divsChild>
    </w:div>
    <w:div w:id="1212234489">
      <w:bodyDiv w:val="1"/>
      <w:marLeft w:val="0"/>
      <w:marRight w:val="0"/>
      <w:marTop w:val="0"/>
      <w:marBottom w:val="0"/>
      <w:divBdr>
        <w:top w:val="none" w:sz="0" w:space="0" w:color="auto"/>
        <w:left w:val="none" w:sz="0" w:space="0" w:color="auto"/>
        <w:bottom w:val="none" w:sz="0" w:space="0" w:color="auto"/>
        <w:right w:val="none" w:sz="0" w:space="0" w:color="auto"/>
      </w:divBdr>
    </w:div>
    <w:div w:id="1228807688">
      <w:bodyDiv w:val="1"/>
      <w:marLeft w:val="0"/>
      <w:marRight w:val="0"/>
      <w:marTop w:val="0"/>
      <w:marBottom w:val="0"/>
      <w:divBdr>
        <w:top w:val="none" w:sz="0" w:space="0" w:color="auto"/>
        <w:left w:val="none" w:sz="0" w:space="0" w:color="auto"/>
        <w:bottom w:val="none" w:sz="0" w:space="0" w:color="auto"/>
        <w:right w:val="none" w:sz="0" w:space="0" w:color="auto"/>
      </w:divBdr>
      <w:divsChild>
        <w:div w:id="860053665">
          <w:blockQuote w:val="1"/>
          <w:marLeft w:val="720"/>
          <w:marRight w:val="720"/>
          <w:marTop w:val="100"/>
          <w:marBottom w:val="100"/>
          <w:divBdr>
            <w:top w:val="none" w:sz="0" w:space="0" w:color="auto"/>
            <w:left w:val="none" w:sz="0" w:space="0" w:color="auto"/>
            <w:bottom w:val="none" w:sz="0" w:space="0" w:color="auto"/>
            <w:right w:val="none" w:sz="0" w:space="0" w:color="auto"/>
          </w:divBdr>
        </w:div>
        <w:div w:id="597836945">
          <w:marLeft w:val="0"/>
          <w:marRight w:val="0"/>
          <w:marTop w:val="0"/>
          <w:marBottom w:val="0"/>
          <w:divBdr>
            <w:top w:val="none" w:sz="0" w:space="0" w:color="auto"/>
            <w:left w:val="none" w:sz="0" w:space="0" w:color="auto"/>
            <w:bottom w:val="none" w:sz="0" w:space="0" w:color="auto"/>
            <w:right w:val="none" w:sz="0" w:space="0" w:color="auto"/>
          </w:divBdr>
        </w:div>
        <w:div w:id="1292638902">
          <w:marLeft w:val="0"/>
          <w:marRight w:val="0"/>
          <w:marTop w:val="0"/>
          <w:marBottom w:val="0"/>
          <w:divBdr>
            <w:top w:val="none" w:sz="0" w:space="0" w:color="auto"/>
            <w:left w:val="none" w:sz="0" w:space="0" w:color="auto"/>
            <w:bottom w:val="none" w:sz="0" w:space="0" w:color="auto"/>
            <w:right w:val="none" w:sz="0" w:space="0" w:color="auto"/>
          </w:divBdr>
        </w:div>
        <w:div w:id="1326545716">
          <w:marLeft w:val="0"/>
          <w:marRight w:val="0"/>
          <w:marTop w:val="0"/>
          <w:marBottom w:val="0"/>
          <w:divBdr>
            <w:top w:val="none" w:sz="0" w:space="0" w:color="auto"/>
            <w:left w:val="none" w:sz="0" w:space="0" w:color="auto"/>
            <w:bottom w:val="none" w:sz="0" w:space="0" w:color="auto"/>
            <w:right w:val="none" w:sz="0" w:space="0" w:color="auto"/>
          </w:divBdr>
        </w:div>
        <w:div w:id="832378933">
          <w:marLeft w:val="0"/>
          <w:marRight w:val="0"/>
          <w:marTop w:val="0"/>
          <w:marBottom w:val="0"/>
          <w:divBdr>
            <w:top w:val="none" w:sz="0" w:space="0" w:color="auto"/>
            <w:left w:val="none" w:sz="0" w:space="0" w:color="auto"/>
            <w:bottom w:val="none" w:sz="0" w:space="0" w:color="auto"/>
            <w:right w:val="none" w:sz="0" w:space="0" w:color="auto"/>
          </w:divBdr>
        </w:div>
        <w:div w:id="902907644">
          <w:marLeft w:val="0"/>
          <w:marRight w:val="0"/>
          <w:marTop w:val="0"/>
          <w:marBottom w:val="0"/>
          <w:divBdr>
            <w:top w:val="none" w:sz="0" w:space="0" w:color="auto"/>
            <w:left w:val="none" w:sz="0" w:space="0" w:color="auto"/>
            <w:bottom w:val="none" w:sz="0" w:space="0" w:color="auto"/>
            <w:right w:val="none" w:sz="0" w:space="0" w:color="auto"/>
          </w:divBdr>
        </w:div>
        <w:div w:id="1446120281">
          <w:marLeft w:val="0"/>
          <w:marRight w:val="0"/>
          <w:marTop w:val="0"/>
          <w:marBottom w:val="0"/>
          <w:divBdr>
            <w:top w:val="none" w:sz="0" w:space="0" w:color="auto"/>
            <w:left w:val="none" w:sz="0" w:space="0" w:color="auto"/>
            <w:bottom w:val="none" w:sz="0" w:space="0" w:color="auto"/>
            <w:right w:val="none" w:sz="0" w:space="0" w:color="auto"/>
          </w:divBdr>
        </w:div>
        <w:div w:id="1320378534">
          <w:marLeft w:val="0"/>
          <w:marRight w:val="0"/>
          <w:marTop w:val="0"/>
          <w:marBottom w:val="0"/>
          <w:divBdr>
            <w:top w:val="none" w:sz="0" w:space="0" w:color="auto"/>
            <w:left w:val="none" w:sz="0" w:space="0" w:color="auto"/>
            <w:bottom w:val="none" w:sz="0" w:space="0" w:color="auto"/>
            <w:right w:val="none" w:sz="0" w:space="0" w:color="auto"/>
          </w:divBdr>
        </w:div>
        <w:div w:id="1383599060">
          <w:marLeft w:val="0"/>
          <w:marRight w:val="0"/>
          <w:marTop w:val="0"/>
          <w:marBottom w:val="0"/>
          <w:divBdr>
            <w:top w:val="none" w:sz="0" w:space="0" w:color="auto"/>
            <w:left w:val="none" w:sz="0" w:space="0" w:color="auto"/>
            <w:bottom w:val="none" w:sz="0" w:space="0" w:color="auto"/>
            <w:right w:val="none" w:sz="0" w:space="0" w:color="auto"/>
          </w:divBdr>
        </w:div>
      </w:divsChild>
    </w:div>
    <w:div w:id="1229269362">
      <w:bodyDiv w:val="1"/>
      <w:marLeft w:val="0"/>
      <w:marRight w:val="0"/>
      <w:marTop w:val="0"/>
      <w:marBottom w:val="0"/>
      <w:divBdr>
        <w:top w:val="none" w:sz="0" w:space="0" w:color="auto"/>
        <w:left w:val="none" w:sz="0" w:space="0" w:color="auto"/>
        <w:bottom w:val="none" w:sz="0" w:space="0" w:color="auto"/>
        <w:right w:val="none" w:sz="0" w:space="0" w:color="auto"/>
      </w:divBdr>
    </w:div>
    <w:div w:id="1296521039">
      <w:bodyDiv w:val="1"/>
      <w:marLeft w:val="0"/>
      <w:marRight w:val="0"/>
      <w:marTop w:val="0"/>
      <w:marBottom w:val="0"/>
      <w:divBdr>
        <w:top w:val="none" w:sz="0" w:space="0" w:color="auto"/>
        <w:left w:val="none" w:sz="0" w:space="0" w:color="auto"/>
        <w:bottom w:val="none" w:sz="0" w:space="0" w:color="auto"/>
        <w:right w:val="none" w:sz="0" w:space="0" w:color="auto"/>
      </w:divBdr>
      <w:divsChild>
        <w:div w:id="2129883910">
          <w:marLeft w:val="0"/>
          <w:marRight w:val="0"/>
          <w:marTop w:val="0"/>
          <w:marBottom w:val="0"/>
          <w:divBdr>
            <w:top w:val="none" w:sz="0" w:space="0" w:color="auto"/>
            <w:left w:val="none" w:sz="0" w:space="0" w:color="auto"/>
            <w:bottom w:val="none" w:sz="0" w:space="0" w:color="auto"/>
            <w:right w:val="none" w:sz="0" w:space="0" w:color="auto"/>
          </w:divBdr>
        </w:div>
      </w:divsChild>
    </w:div>
    <w:div w:id="1296571225">
      <w:bodyDiv w:val="1"/>
      <w:marLeft w:val="0"/>
      <w:marRight w:val="0"/>
      <w:marTop w:val="0"/>
      <w:marBottom w:val="0"/>
      <w:divBdr>
        <w:top w:val="none" w:sz="0" w:space="0" w:color="auto"/>
        <w:left w:val="none" w:sz="0" w:space="0" w:color="auto"/>
        <w:bottom w:val="none" w:sz="0" w:space="0" w:color="auto"/>
        <w:right w:val="none" w:sz="0" w:space="0" w:color="auto"/>
      </w:divBdr>
    </w:div>
    <w:div w:id="1311861491">
      <w:bodyDiv w:val="1"/>
      <w:marLeft w:val="0"/>
      <w:marRight w:val="0"/>
      <w:marTop w:val="0"/>
      <w:marBottom w:val="0"/>
      <w:divBdr>
        <w:top w:val="none" w:sz="0" w:space="0" w:color="auto"/>
        <w:left w:val="none" w:sz="0" w:space="0" w:color="auto"/>
        <w:bottom w:val="none" w:sz="0" w:space="0" w:color="auto"/>
        <w:right w:val="none" w:sz="0" w:space="0" w:color="auto"/>
      </w:divBdr>
    </w:div>
    <w:div w:id="1348948583">
      <w:bodyDiv w:val="1"/>
      <w:marLeft w:val="0"/>
      <w:marRight w:val="0"/>
      <w:marTop w:val="0"/>
      <w:marBottom w:val="0"/>
      <w:divBdr>
        <w:top w:val="none" w:sz="0" w:space="0" w:color="auto"/>
        <w:left w:val="none" w:sz="0" w:space="0" w:color="auto"/>
        <w:bottom w:val="none" w:sz="0" w:space="0" w:color="auto"/>
        <w:right w:val="none" w:sz="0" w:space="0" w:color="auto"/>
      </w:divBdr>
    </w:div>
    <w:div w:id="1423723967">
      <w:bodyDiv w:val="1"/>
      <w:marLeft w:val="0"/>
      <w:marRight w:val="0"/>
      <w:marTop w:val="0"/>
      <w:marBottom w:val="0"/>
      <w:divBdr>
        <w:top w:val="none" w:sz="0" w:space="0" w:color="auto"/>
        <w:left w:val="none" w:sz="0" w:space="0" w:color="auto"/>
        <w:bottom w:val="none" w:sz="0" w:space="0" w:color="auto"/>
        <w:right w:val="none" w:sz="0" w:space="0" w:color="auto"/>
      </w:divBdr>
    </w:div>
    <w:div w:id="1526360763">
      <w:bodyDiv w:val="1"/>
      <w:marLeft w:val="0"/>
      <w:marRight w:val="0"/>
      <w:marTop w:val="0"/>
      <w:marBottom w:val="0"/>
      <w:divBdr>
        <w:top w:val="none" w:sz="0" w:space="0" w:color="auto"/>
        <w:left w:val="none" w:sz="0" w:space="0" w:color="auto"/>
        <w:bottom w:val="none" w:sz="0" w:space="0" w:color="auto"/>
        <w:right w:val="none" w:sz="0" w:space="0" w:color="auto"/>
      </w:divBdr>
      <w:divsChild>
        <w:div w:id="837235274">
          <w:marLeft w:val="0"/>
          <w:marRight w:val="0"/>
          <w:marTop w:val="0"/>
          <w:marBottom w:val="0"/>
          <w:divBdr>
            <w:top w:val="none" w:sz="0" w:space="0" w:color="auto"/>
            <w:left w:val="none" w:sz="0" w:space="0" w:color="auto"/>
            <w:bottom w:val="none" w:sz="0" w:space="0" w:color="auto"/>
            <w:right w:val="none" w:sz="0" w:space="0" w:color="auto"/>
          </w:divBdr>
        </w:div>
      </w:divsChild>
    </w:div>
    <w:div w:id="1541819370">
      <w:bodyDiv w:val="1"/>
      <w:marLeft w:val="0"/>
      <w:marRight w:val="0"/>
      <w:marTop w:val="0"/>
      <w:marBottom w:val="0"/>
      <w:divBdr>
        <w:top w:val="none" w:sz="0" w:space="0" w:color="auto"/>
        <w:left w:val="none" w:sz="0" w:space="0" w:color="auto"/>
        <w:bottom w:val="none" w:sz="0" w:space="0" w:color="auto"/>
        <w:right w:val="none" w:sz="0" w:space="0" w:color="auto"/>
      </w:divBdr>
    </w:div>
    <w:div w:id="1548299334">
      <w:bodyDiv w:val="1"/>
      <w:marLeft w:val="0"/>
      <w:marRight w:val="0"/>
      <w:marTop w:val="0"/>
      <w:marBottom w:val="0"/>
      <w:divBdr>
        <w:top w:val="none" w:sz="0" w:space="0" w:color="auto"/>
        <w:left w:val="none" w:sz="0" w:space="0" w:color="auto"/>
        <w:bottom w:val="none" w:sz="0" w:space="0" w:color="auto"/>
        <w:right w:val="none" w:sz="0" w:space="0" w:color="auto"/>
      </w:divBdr>
    </w:div>
    <w:div w:id="1596357290">
      <w:bodyDiv w:val="1"/>
      <w:marLeft w:val="0"/>
      <w:marRight w:val="0"/>
      <w:marTop w:val="0"/>
      <w:marBottom w:val="0"/>
      <w:divBdr>
        <w:top w:val="none" w:sz="0" w:space="0" w:color="auto"/>
        <w:left w:val="none" w:sz="0" w:space="0" w:color="auto"/>
        <w:bottom w:val="none" w:sz="0" w:space="0" w:color="auto"/>
        <w:right w:val="none" w:sz="0" w:space="0" w:color="auto"/>
      </w:divBdr>
    </w:div>
    <w:div w:id="1669282038">
      <w:bodyDiv w:val="1"/>
      <w:marLeft w:val="0"/>
      <w:marRight w:val="0"/>
      <w:marTop w:val="0"/>
      <w:marBottom w:val="0"/>
      <w:divBdr>
        <w:top w:val="none" w:sz="0" w:space="0" w:color="auto"/>
        <w:left w:val="none" w:sz="0" w:space="0" w:color="auto"/>
        <w:bottom w:val="none" w:sz="0" w:space="0" w:color="auto"/>
        <w:right w:val="none" w:sz="0" w:space="0" w:color="auto"/>
      </w:divBdr>
    </w:div>
    <w:div w:id="1708330815">
      <w:bodyDiv w:val="1"/>
      <w:marLeft w:val="0"/>
      <w:marRight w:val="0"/>
      <w:marTop w:val="0"/>
      <w:marBottom w:val="0"/>
      <w:divBdr>
        <w:top w:val="none" w:sz="0" w:space="0" w:color="auto"/>
        <w:left w:val="none" w:sz="0" w:space="0" w:color="auto"/>
        <w:bottom w:val="none" w:sz="0" w:space="0" w:color="auto"/>
        <w:right w:val="none" w:sz="0" w:space="0" w:color="auto"/>
      </w:divBdr>
      <w:divsChild>
        <w:div w:id="1109930113">
          <w:marLeft w:val="0"/>
          <w:marRight w:val="0"/>
          <w:marTop w:val="0"/>
          <w:marBottom w:val="0"/>
          <w:divBdr>
            <w:top w:val="none" w:sz="0" w:space="0" w:color="auto"/>
            <w:left w:val="none" w:sz="0" w:space="0" w:color="auto"/>
            <w:bottom w:val="none" w:sz="0" w:space="0" w:color="auto"/>
            <w:right w:val="none" w:sz="0" w:space="0" w:color="auto"/>
          </w:divBdr>
        </w:div>
      </w:divsChild>
    </w:div>
    <w:div w:id="1733891359">
      <w:bodyDiv w:val="1"/>
      <w:marLeft w:val="0"/>
      <w:marRight w:val="0"/>
      <w:marTop w:val="0"/>
      <w:marBottom w:val="0"/>
      <w:divBdr>
        <w:top w:val="none" w:sz="0" w:space="0" w:color="auto"/>
        <w:left w:val="none" w:sz="0" w:space="0" w:color="auto"/>
        <w:bottom w:val="none" w:sz="0" w:space="0" w:color="auto"/>
        <w:right w:val="none" w:sz="0" w:space="0" w:color="auto"/>
      </w:divBdr>
      <w:divsChild>
        <w:div w:id="54935791">
          <w:marLeft w:val="0"/>
          <w:marRight w:val="0"/>
          <w:marTop w:val="0"/>
          <w:marBottom w:val="0"/>
          <w:divBdr>
            <w:top w:val="none" w:sz="0" w:space="0" w:color="auto"/>
            <w:left w:val="none" w:sz="0" w:space="0" w:color="auto"/>
            <w:bottom w:val="none" w:sz="0" w:space="0" w:color="auto"/>
            <w:right w:val="none" w:sz="0" w:space="0" w:color="auto"/>
          </w:divBdr>
        </w:div>
      </w:divsChild>
    </w:div>
    <w:div w:id="1755777341">
      <w:bodyDiv w:val="1"/>
      <w:marLeft w:val="0"/>
      <w:marRight w:val="0"/>
      <w:marTop w:val="0"/>
      <w:marBottom w:val="0"/>
      <w:divBdr>
        <w:top w:val="none" w:sz="0" w:space="0" w:color="auto"/>
        <w:left w:val="none" w:sz="0" w:space="0" w:color="auto"/>
        <w:bottom w:val="none" w:sz="0" w:space="0" w:color="auto"/>
        <w:right w:val="none" w:sz="0" w:space="0" w:color="auto"/>
      </w:divBdr>
    </w:div>
    <w:div w:id="1839038086">
      <w:bodyDiv w:val="1"/>
      <w:marLeft w:val="0"/>
      <w:marRight w:val="0"/>
      <w:marTop w:val="0"/>
      <w:marBottom w:val="0"/>
      <w:divBdr>
        <w:top w:val="none" w:sz="0" w:space="0" w:color="auto"/>
        <w:left w:val="none" w:sz="0" w:space="0" w:color="auto"/>
        <w:bottom w:val="none" w:sz="0" w:space="0" w:color="auto"/>
        <w:right w:val="none" w:sz="0" w:space="0" w:color="auto"/>
      </w:divBdr>
    </w:div>
    <w:div w:id="1842813946">
      <w:bodyDiv w:val="1"/>
      <w:marLeft w:val="0"/>
      <w:marRight w:val="0"/>
      <w:marTop w:val="0"/>
      <w:marBottom w:val="0"/>
      <w:divBdr>
        <w:top w:val="none" w:sz="0" w:space="0" w:color="auto"/>
        <w:left w:val="none" w:sz="0" w:space="0" w:color="auto"/>
        <w:bottom w:val="none" w:sz="0" w:space="0" w:color="auto"/>
        <w:right w:val="none" w:sz="0" w:space="0" w:color="auto"/>
      </w:divBdr>
    </w:div>
    <w:div w:id="1854227057">
      <w:bodyDiv w:val="1"/>
      <w:marLeft w:val="0"/>
      <w:marRight w:val="0"/>
      <w:marTop w:val="0"/>
      <w:marBottom w:val="0"/>
      <w:divBdr>
        <w:top w:val="none" w:sz="0" w:space="0" w:color="auto"/>
        <w:left w:val="none" w:sz="0" w:space="0" w:color="auto"/>
        <w:bottom w:val="none" w:sz="0" w:space="0" w:color="auto"/>
        <w:right w:val="none" w:sz="0" w:space="0" w:color="auto"/>
      </w:divBdr>
    </w:div>
    <w:div w:id="1858692915">
      <w:bodyDiv w:val="1"/>
      <w:marLeft w:val="0"/>
      <w:marRight w:val="0"/>
      <w:marTop w:val="0"/>
      <w:marBottom w:val="0"/>
      <w:divBdr>
        <w:top w:val="none" w:sz="0" w:space="0" w:color="auto"/>
        <w:left w:val="none" w:sz="0" w:space="0" w:color="auto"/>
        <w:bottom w:val="none" w:sz="0" w:space="0" w:color="auto"/>
        <w:right w:val="none" w:sz="0" w:space="0" w:color="auto"/>
      </w:divBdr>
    </w:div>
    <w:div w:id="1867987471">
      <w:bodyDiv w:val="1"/>
      <w:marLeft w:val="0"/>
      <w:marRight w:val="0"/>
      <w:marTop w:val="0"/>
      <w:marBottom w:val="0"/>
      <w:divBdr>
        <w:top w:val="none" w:sz="0" w:space="0" w:color="auto"/>
        <w:left w:val="none" w:sz="0" w:space="0" w:color="auto"/>
        <w:bottom w:val="none" w:sz="0" w:space="0" w:color="auto"/>
        <w:right w:val="none" w:sz="0" w:space="0" w:color="auto"/>
      </w:divBdr>
    </w:div>
    <w:div w:id="1876044662">
      <w:bodyDiv w:val="1"/>
      <w:marLeft w:val="0"/>
      <w:marRight w:val="0"/>
      <w:marTop w:val="0"/>
      <w:marBottom w:val="0"/>
      <w:divBdr>
        <w:top w:val="none" w:sz="0" w:space="0" w:color="auto"/>
        <w:left w:val="none" w:sz="0" w:space="0" w:color="auto"/>
        <w:bottom w:val="none" w:sz="0" w:space="0" w:color="auto"/>
        <w:right w:val="none" w:sz="0" w:space="0" w:color="auto"/>
      </w:divBdr>
    </w:div>
    <w:div w:id="1883713874">
      <w:bodyDiv w:val="1"/>
      <w:marLeft w:val="0"/>
      <w:marRight w:val="0"/>
      <w:marTop w:val="0"/>
      <w:marBottom w:val="0"/>
      <w:divBdr>
        <w:top w:val="none" w:sz="0" w:space="0" w:color="auto"/>
        <w:left w:val="none" w:sz="0" w:space="0" w:color="auto"/>
        <w:bottom w:val="none" w:sz="0" w:space="0" w:color="auto"/>
        <w:right w:val="none" w:sz="0" w:space="0" w:color="auto"/>
      </w:divBdr>
    </w:div>
    <w:div w:id="1914271899">
      <w:bodyDiv w:val="1"/>
      <w:marLeft w:val="0"/>
      <w:marRight w:val="0"/>
      <w:marTop w:val="0"/>
      <w:marBottom w:val="0"/>
      <w:divBdr>
        <w:top w:val="none" w:sz="0" w:space="0" w:color="auto"/>
        <w:left w:val="none" w:sz="0" w:space="0" w:color="auto"/>
        <w:bottom w:val="none" w:sz="0" w:space="0" w:color="auto"/>
        <w:right w:val="none" w:sz="0" w:space="0" w:color="auto"/>
      </w:divBdr>
    </w:div>
    <w:div w:id="1917200040">
      <w:bodyDiv w:val="1"/>
      <w:marLeft w:val="0"/>
      <w:marRight w:val="0"/>
      <w:marTop w:val="0"/>
      <w:marBottom w:val="0"/>
      <w:divBdr>
        <w:top w:val="none" w:sz="0" w:space="0" w:color="auto"/>
        <w:left w:val="none" w:sz="0" w:space="0" w:color="auto"/>
        <w:bottom w:val="none" w:sz="0" w:space="0" w:color="auto"/>
        <w:right w:val="none" w:sz="0" w:space="0" w:color="auto"/>
      </w:divBdr>
    </w:div>
    <w:div w:id="2031443346">
      <w:bodyDiv w:val="1"/>
      <w:marLeft w:val="0"/>
      <w:marRight w:val="0"/>
      <w:marTop w:val="0"/>
      <w:marBottom w:val="0"/>
      <w:divBdr>
        <w:top w:val="none" w:sz="0" w:space="0" w:color="auto"/>
        <w:left w:val="none" w:sz="0" w:space="0" w:color="auto"/>
        <w:bottom w:val="none" w:sz="0" w:space="0" w:color="auto"/>
        <w:right w:val="none" w:sz="0" w:space="0" w:color="auto"/>
      </w:divBdr>
    </w:div>
    <w:div w:id="2033606988">
      <w:bodyDiv w:val="1"/>
      <w:marLeft w:val="0"/>
      <w:marRight w:val="0"/>
      <w:marTop w:val="0"/>
      <w:marBottom w:val="0"/>
      <w:divBdr>
        <w:top w:val="none" w:sz="0" w:space="0" w:color="auto"/>
        <w:left w:val="none" w:sz="0" w:space="0" w:color="auto"/>
        <w:bottom w:val="none" w:sz="0" w:space="0" w:color="auto"/>
        <w:right w:val="none" w:sz="0" w:space="0" w:color="auto"/>
      </w:divBdr>
    </w:div>
    <w:div w:id="2041007514">
      <w:bodyDiv w:val="1"/>
      <w:marLeft w:val="0"/>
      <w:marRight w:val="0"/>
      <w:marTop w:val="0"/>
      <w:marBottom w:val="0"/>
      <w:divBdr>
        <w:top w:val="none" w:sz="0" w:space="0" w:color="auto"/>
        <w:left w:val="none" w:sz="0" w:space="0" w:color="auto"/>
        <w:bottom w:val="none" w:sz="0" w:space="0" w:color="auto"/>
        <w:right w:val="none" w:sz="0" w:space="0" w:color="auto"/>
      </w:divBdr>
    </w:div>
    <w:div w:id="2121365274">
      <w:bodyDiv w:val="1"/>
      <w:marLeft w:val="0"/>
      <w:marRight w:val="0"/>
      <w:marTop w:val="0"/>
      <w:marBottom w:val="0"/>
      <w:divBdr>
        <w:top w:val="none" w:sz="0" w:space="0" w:color="auto"/>
        <w:left w:val="none" w:sz="0" w:space="0" w:color="auto"/>
        <w:bottom w:val="none" w:sz="0" w:space="0" w:color="auto"/>
        <w:right w:val="none" w:sz="0" w:space="0" w:color="auto"/>
      </w:divBdr>
    </w:div>
    <w:div w:id="214619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67D34-6555-428A-92F9-CA0DA81F5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12</Pages>
  <Words>3065</Words>
  <Characters>17475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Ankul Daga</dc:creator>
  <cp:keywords/>
  <dc:description/>
  <cp:lastModifiedBy>Ankul Daga</cp:lastModifiedBy>
  <cp:revision>4</cp:revision>
  <dcterms:created xsi:type="dcterms:W3CDTF">2025-07-08T15:42:00Z</dcterms:created>
  <dcterms:modified xsi:type="dcterms:W3CDTF">2025-07-08T18:47:00Z</dcterms:modified>
</cp:coreProperties>
</file>